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0" w:after="80"/>
        <w:ind w:left="5103"/>
        <w:rPr>
          <w:rFonts w:ascii="Times New Roman" w:hAnsi="Times New Roman" w:eastAsia="Calibri" w:cs="Times New Roman"/>
          <w:color w:val="auto"/>
          <w:sz w:val="22"/>
          <w:szCs w:val="22"/>
        </w:rPr>
      </w:pPr>
      <w:bookmarkStart w:id="0" w:name="_Ref38539939"/>
      <w:bookmarkStart w:id="1" w:name="_Toc185177413"/>
      <w:bookmarkStart w:id="2" w:name="_Ref38899023"/>
      <w:bookmarkStart w:id="3" w:name="_Ref38541068"/>
      <w:bookmarkStart w:id="4" w:name="_Ref38885053"/>
      <w:r>
        <w:rPr>
          <w:rFonts w:eastAsia="Calibri" w:cs="Times New Roman" w:ascii="Times New Roman" w:hAnsi="Times New Roman"/>
          <w:color w:val="auto"/>
          <w:sz w:val="22"/>
          <w:szCs w:val="22"/>
        </w:rPr>
        <w:t>Pirkimo sąlygų 2 priedas „Techninė specifikacija“</w:t>
      </w:r>
      <w:bookmarkEnd w:id="0"/>
      <w:bookmarkEnd w:id="1"/>
      <w:bookmarkEnd w:id="2"/>
      <w:bookmarkEnd w:id="3"/>
      <w:bookmarkEnd w:id="4"/>
    </w:p>
    <w:p>
      <w:pPr>
        <w:pStyle w:val="Normal"/>
        <w:rPr/>
      </w:pPr>
      <w:r>
        <w:rPr/>
      </w:r>
    </w:p>
    <w:p>
      <w:pPr>
        <w:pStyle w:val="Normal"/>
        <w:rPr/>
      </w:pPr>
      <w:r>
        <w:rPr/>
      </w:r>
    </w:p>
    <w:p>
      <w:pPr>
        <w:pStyle w:val="Normal"/>
        <w:spacing w:lineRule="auto" w:line="276"/>
        <w:jc w:val="center"/>
        <w:rPr>
          <w:rFonts w:cs="Times New Roman"/>
          <w:b/>
          <w:bCs/>
          <w:color w:val="000000"/>
          <w:szCs w:val="24"/>
        </w:rPr>
      </w:pPr>
      <w:r>
        <w:rPr>
          <w:rFonts w:cs="Times New Roman"/>
          <w:b/>
          <w:bCs/>
          <w:color w:val="000000"/>
          <w:szCs w:val="24"/>
        </w:rPr>
        <w:t xml:space="preserve">II PIRKIMO DALIES </w:t>
      </w:r>
      <w:r>
        <w:rPr>
          <w:rFonts w:cs="Times New Roman"/>
          <w:b/>
          <w:bCs/>
          <w:color w:val="000000"/>
          <w:szCs w:val="24"/>
        </w:rPr>
        <w:t>TECHNINĖ SPECIFIKACIJA</w:t>
      </w:r>
    </w:p>
    <w:p>
      <w:pPr>
        <w:pStyle w:val="Normal"/>
        <w:spacing w:lineRule="auto" w:line="276"/>
        <w:jc w:val="center"/>
        <w:rPr>
          <w:rFonts w:cs="Times New Roman"/>
          <w:b/>
          <w:bCs/>
          <w:color w:val="000000"/>
          <w:szCs w:val="24"/>
        </w:rPr>
      </w:pPr>
      <w:r>
        <w:rPr>
          <w:rFonts w:cs="Times New Roman"/>
          <w:b/>
          <w:bCs/>
          <w:color w:val="000000"/>
          <w:szCs w:val="24"/>
        </w:rPr>
      </w:r>
      <w:bookmarkStart w:id="5" w:name="_Hlk159080123"/>
      <w:bookmarkStart w:id="6" w:name="_Hlk159080123"/>
    </w:p>
    <w:p>
      <w:pPr>
        <w:pStyle w:val="Normal"/>
        <w:spacing w:lineRule="auto" w:line="276"/>
        <w:jc w:val="center"/>
        <w:rPr>
          <w:rFonts w:cs="Times New Roman"/>
          <w:b/>
          <w:bCs/>
          <w:color w:val="000000"/>
          <w:szCs w:val="24"/>
        </w:rPr>
      </w:pPr>
      <w:r>
        <w:rPr>
          <w:rFonts w:cs="Times New Roman"/>
          <w:b/>
          <w:bCs/>
          <w:color w:val="000000"/>
          <w:szCs w:val="24"/>
        </w:rPr>
        <w:t>ĮVADINĖ INFORMACIJA APIE PROJEKTĄ</w:t>
      </w:r>
    </w:p>
    <w:p>
      <w:pPr>
        <w:pStyle w:val="Normal"/>
        <w:spacing w:lineRule="auto" w:line="276"/>
        <w:jc w:val="center"/>
        <w:rPr>
          <w:rFonts w:cs="Times New Roman"/>
          <w:b/>
          <w:bCs/>
          <w:color w:val="000000"/>
          <w:szCs w:val="24"/>
        </w:rPr>
      </w:pPr>
      <w:r>
        <w:rPr>
          <w:rFonts w:cs="Times New Roman"/>
          <w:b/>
          <w:bCs/>
          <w:color w:val="000000"/>
          <w:szCs w:val="24"/>
        </w:rPr>
      </w:r>
    </w:p>
    <w:p>
      <w:pPr>
        <w:pStyle w:val="ListParagraph"/>
        <w:widowControl w:val="false"/>
        <w:numPr>
          <w:ilvl w:val="0"/>
          <w:numId w:val="3"/>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stheme="majorBidi"/>
          <w:szCs w:val="24"/>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Times New Roman" w:cstheme="majorBidi"/>
          <w:color w:val="000000"/>
          <w:szCs w:val="24"/>
          <w:shd w:fill="FFFFFF" w:val="clear"/>
        </w:rPr>
        <w:t>Nr. 09-018-P-0001 (toliau – Projektas).</w:t>
      </w:r>
    </w:p>
    <w:p>
      <w:pPr>
        <w:pStyle w:val="ListParagraph"/>
        <w:widowControl w:val="false"/>
        <w:numPr>
          <w:ilvl w:val="0"/>
          <w:numId w:val="3"/>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olor w:val="000000"/>
          <w:szCs w:val="24"/>
        </w:rPr>
        <w:t>Projekto veiklos:</w:t>
      </w:r>
    </w:p>
    <w:p>
      <w:pPr>
        <w:pStyle w:val="ListParagraph"/>
        <w:widowControl w:val="false"/>
        <w:numPr>
          <w:ilvl w:val="1"/>
          <w:numId w:val="3"/>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olor w:val="000000"/>
          <w:szCs w:val="24"/>
        </w:rPr>
        <w:t>Specialistų mokymas ir kvalifikacijos kėlimas Sostinės regione (Vilniaus apskritis);</w:t>
      </w:r>
    </w:p>
    <w:p>
      <w:pPr>
        <w:pStyle w:val="ListParagraph"/>
        <w:widowControl w:val="false"/>
        <w:numPr>
          <w:ilvl w:val="1"/>
          <w:numId w:val="3"/>
        </w:numPr>
        <w:shd w:val="clear" w:color="auto" w:fill="FFFFFF"/>
        <w:tabs>
          <w:tab w:val="clear" w:pos="1296"/>
          <w:tab w:val="left" w:pos="1134" w:leader="none"/>
        </w:tabs>
        <w:spacing w:lineRule="auto" w:line="276"/>
        <w:ind w:firstLine="851" w:left="0"/>
        <w:jc w:val="both"/>
        <w:rPr>
          <w:rFonts w:cs="Times New Roman"/>
          <w:color w:val="000000"/>
          <w:szCs w:val="24"/>
        </w:rPr>
      </w:pPr>
      <w:r>
        <w:rPr>
          <w:rFonts w:cs="Times New Roman"/>
          <w:color w:val="000000"/>
          <w:szCs w:val="24"/>
        </w:rPr>
        <w:t xml:space="preserve">Specialistų mokymas ir kvalifikacijos kėlimas </w:t>
      </w:r>
      <w:bookmarkStart w:id="7" w:name="_Hlk159074911"/>
      <w:r>
        <w:rPr>
          <w:rFonts w:cs="Times New Roman"/>
          <w:color w:val="000000"/>
          <w:szCs w:val="24"/>
        </w:rPr>
        <w:t>Vidurio ir vakarų Lietuvos regione (visos apskritys, išskyrus Vilniaus apskritį).</w:t>
      </w:r>
    </w:p>
    <w:p>
      <w:pPr>
        <w:pStyle w:val="ListParagraph"/>
        <w:widowControl w:val="false"/>
        <w:numPr>
          <w:ilvl w:val="1"/>
          <w:numId w:val="3"/>
        </w:numPr>
        <w:shd w:val="clear" w:color="auto" w:fill="FFFFFF" w:themeFill="background1"/>
        <w:tabs>
          <w:tab w:val="clear" w:pos="1296"/>
          <w:tab w:val="left" w:pos="1134" w:leader="none"/>
        </w:tabs>
        <w:spacing w:lineRule="auto" w:line="276"/>
        <w:ind w:firstLine="851" w:left="0"/>
        <w:jc w:val="both"/>
        <w:rPr>
          <w:rFonts w:cs="Times New Roman"/>
          <w:color w:val="000000"/>
          <w:szCs w:val="24"/>
        </w:rPr>
      </w:pPr>
      <w:r>
        <w:rPr>
          <w:rFonts w:cs="Times New Roman"/>
          <w:color w:themeColor="text1" w:val="000000"/>
          <w:szCs w:val="24"/>
        </w:rPr>
        <w:t>Projekto poveiklė – Mokymų programų analizė ir parengimas.</w:t>
      </w:r>
      <w:bookmarkEnd w:id="7"/>
    </w:p>
    <w:p>
      <w:pPr>
        <w:pStyle w:val="ListParagraph"/>
        <w:widowControl w:val="false"/>
        <w:numPr>
          <w:ilvl w:val="0"/>
          <w:numId w:val="3"/>
        </w:numPr>
        <w:shd w:val="clear" w:color="auto" w:fill="FFFFFF"/>
        <w:tabs>
          <w:tab w:val="clear" w:pos="1296"/>
          <w:tab w:val="left" w:pos="1134" w:leader="none"/>
        </w:tabs>
        <w:spacing w:lineRule="auto" w:line="276"/>
        <w:ind w:firstLine="851" w:left="0"/>
        <w:jc w:val="both"/>
        <w:rPr>
          <w:rFonts w:cs="Times New Roman"/>
          <w:color w:val="000000"/>
          <w:szCs w:val="24"/>
        </w:rPr>
      </w:pPr>
      <w:bookmarkStart w:id="8" w:name="_Hlk159080123"/>
      <w:r>
        <w:rPr>
          <w:rFonts w:cs="Times New Roman"/>
          <w:color w:val="000000"/>
          <w:szCs w:val="24"/>
        </w:rPr>
        <w:t xml:space="preserve">Projekto tikslas yra stiprinti sveikatos priežiūros specialistų, bei specialistų, atsakingų už mokymų vykdymą savo įstaigose kompetencijas ir tobulinti jų kvalifikaciją, siekiant, kad šalyje būtų įgyvendinama šiuolaikinė visuomenės sveikatos politika ir reikiamai būtų reaguojama į rizikos veiksnių ar grėsmių keliamus iššūkius. </w:t>
      </w:r>
      <w:bookmarkEnd w:id="8"/>
    </w:p>
    <w:p>
      <w:pPr>
        <w:pStyle w:val="ListParagraph"/>
        <w:spacing w:lineRule="auto" w:line="276"/>
        <w:ind w:firstLine="851" w:left="360"/>
        <w:jc w:val="center"/>
        <w:rPr>
          <w:rFonts w:cs="Times New Roman"/>
          <w:b/>
          <w:bCs/>
          <w:color w:val="000000"/>
          <w:szCs w:val="24"/>
        </w:rPr>
      </w:pPr>
      <w:r>
        <w:rPr>
          <w:rFonts w:cs="Times New Roman"/>
          <w:b/>
          <w:bCs/>
          <w:color w:val="000000"/>
          <w:szCs w:val="24"/>
        </w:rPr>
      </w:r>
    </w:p>
    <w:p>
      <w:pPr>
        <w:pStyle w:val="Prastasis1"/>
        <w:spacing w:before="0" w:after="0"/>
        <w:jc w:val="center"/>
        <w:rPr>
          <w:rFonts w:eastAsia="Times New Roman" w:cs="Times New Roman"/>
          <w:b/>
          <w:lang w:val="lt-LT"/>
        </w:rPr>
      </w:pPr>
      <w:r>
        <w:rPr>
          <w:rFonts w:eastAsia="Times New Roman" w:cs="Times New Roman"/>
          <w:b/>
          <w:lang w:val="lt-LT"/>
        </w:rPr>
        <w:t>I SKYRIUS</w:t>
      </w:r>
    </w:p>
    <w:p>
      <w:pPr>
        <w:pStyle w:val="Prastasis1"/>
        <w:spacing w:before="0" w:after="200"/>
        <w:contextualSpacing/>
        <w:jc w:val="center"/>
        <w:rPr>
          <w:rFonts w:eastAsia="Times New Roman" w:cs="Times New Roman"/>
          <w:b/>
          <w:color w:val="000000"/>
          <w:lang w:val="lt-LT"/>
        </w:rPr>
      </w:pPr>
      <w:r>
        <w:rPr>
          <w:rFonts w:eastAsia="Times New Roman" w:cs="Times New Roman"/>
          <w:b/>
          <w:color w:val="000000"/>
          <w:lang w:val="lt-LT"/>
        </w:rPr>
        <w:t>BENDRA INFORMACIJA APIE PIRKIMĄ</w:t>
      </w:r>
    </w:p>
    <w:p>
      <w:pPr>
        <w:pStyle w:val="Prastasis1"/>
        <w:spacing w:before="0" w:after="0"/>
        <w:ind w:left="720"/>
        <w:contextualSpacing/>
        <w:jc w:val="center"/>
        <w:rPr>
          <w:rFonts w:eastAsia="Times New Roman" w:cs="Times New Roman"/>
          <w:b/>
          <w:color w:val="000000"/>
          <w:lang w:val="lt-LT"/>
        </w:rPr>
      </w:pPr>
      <w:r>
        <w:rPr>
          <w:rFonts w:eastAsia="Times New Roman" w:cs="Times New Roman"/>
          <w:b/>
          <w:color w:val="000000"/>
          <w:lang w:val="lt-LT"/>
        </w:rPr>
      </w:r>
    </w:p>
    <w:p>
      <w:pPr>
        <w:pStyle w:val="Normal"/>
        <w:numPr>
          <w:ilvl w:val="0"/>
          <w:numId w:val="4"/>
        </w:numPr>
        <w:tabs>
          <w:tab w:val="clear" w:pos="1296"/>
          <w:tab w:val="left" w:pos="1134" w:leader="none"/>
        </w:tabs>
        <w:spacing w:lineRule="auto" w:line="276"/>
        <w:ind w:firstLine="851" w:left="0"/>
        <w:jc w:val="both"/>
        <w:rPr>
          <w:rFonts w:cs="Times New Roman"/>
        </w:rPr>
      </w:pPr>
      <w:r>
        <w:rPr>
          <w:rFonts w:cs="Times New Roman"/>
          <w:color w:val="000000"/>
          <w:szCs w:val="24"/>
        </w:rPr>
        <w:t xml:space="preserve">Perkančioji organizacija – Higienos </w:t>
      </w:r>
      <w:r>
        <w:rPr>
          <w:rFonts w:cs="Times New Roman"/>
          <w:szCs w:val="24"/>
        </w:rPr>
        <w:t xml:space="preserve">institutas, valstybės biudžetinė įstaiga, adresas: Studentų g. 45A, 08107, Vilnius, tel. + 370 5 262 4583, el. p. institutas@hi.lt, įmonės kodas 111958286. </w:t>
      </w:r>
    </w:p>
    <w:p>
      <w:pPr>
        <w:pStyle w:val="Normal"/>
        <w:numPr>
          <w:ilvl w:val="0"/>
          <w:numId w:val="4"/>
        </w:numPr>
        <w:tabs>
          <w:tab w:val="clear" w:pos="1296"/>
          <w:tab w:val="left" w:pos="1134" w:leader="none"/>
        </w:tabs>
        <w:spacing w:lineRule="auto" w:line="276"/>
        <w:ind w:firstLine="851" w:left="0"/>
        <w:jc w:val="both"/>
        <w:rPr>
          <w:rFonts w:cs="Times New Roman"/>
        </w:rPr>
      </w:pPr>
      <w:r>
        <w:rPr>
          <w:rFonts w:cs="Times New Roman"/>
        </w:rPr>
        <w:t>Pirkimo objektas – nuotolinių mokymų, pagal Perkančiosios organizacijos parengtą ir teisės aktų nustatyta tvarka suderintą 4 (keturių) valandų trukmės profesinės kvalifikacijos tobulinimo programą „Sveikatos priežiūros specialistų e. mokymai apie LGBTQI+ asmenų sveikatos priežiūros poreikius ir iššūkius“, parengimo paslaugos (toliau – Paslaugos), kurios apima mokymų medžiagos turinio ir nuotolinių mokymų (toliau – e. mokymai) kūrimą.</w:t>
      </w:r>
    </w:p>
    <w:p>
      <w:pPr>
        <w:pStyle w:val="Normal"/>
        <w:numPr>
          <w:ilvl w:val="0"/>
          <w:numId w:val="5"/>
        </w:numPr>
        <w:tabs>
          <w:tab w:val="clear" w:pos="1296"/>
          <w:tab w:val="left" w:pos="1134" w:leader="none"/>
        </w:tabs>
        <w:spacing w:lineRule="auto" w:line="276"/>
        <w:ind w:firstLine="851" w:left="0"/>
        <w:jc w:val="both"/>
        <w:rPr>
          <w:rFonts w:cs="Times New Roman"/>
          <w:color w:val="000000"/>
          <w:szCs w:val="24"/>
        </w:rPr>
      </w:pPr>
      <w:r>
        <w:rPr>
          <w:rFonts w:cs="Times New Roman"/>
          <w:color w:themeColor="text1" w:val="000000"/>
          <w:szCs w:val="24"/>
        </w:rPr>
        <w:t xml:space="preserve">Nuotolinių mokymų tikslas – </w:t>
      </w:r>
      <w:r>
        <w:rPr/>
        <w:t>suteikti sveikatos priežiūros specialistams teorines ir praktines žinias apie LGBTQI+ asmenų sveikatos priežiūrą, įskaitant psichikos sveikatos ypatumus, stiprinti gebėjimus teikti lygiavertes, jautrias paslaugas bei mažinti diskriminacijos ir stigmos riziką.</w:t>
      </w:r>
      <w:r>
        <w:rPr>
          <w:rFonts w:cs="Times New Roman"/>
          <w:color w:themeColor="text1" w:val="000000"/>
          <w:szCs w:val="24"/>
        </w:rPr>
        <w:t xml:space="preserve"> </w:t>
      </w:r>
    </w:p>
    <w:p>
      <w:pPr>
        <w:pStyle w:val="Normal"/>
        <w:numPr>
          <w:ilvl w:val="0"/>
          <w:numId w:val="5"/>
        </w:numPr>
        <w:tabs>
          <w:tab w:val="clear" w:pos="1296"/>
          <w:tab w:val="left" w:pos="1134" w:leader="none"/>
        </w:tabs>
        <w:spacing w:lineRule="auto" w:line="276"/>
        <w:ind w:firstLine="851" w:left="0"/>
        <w:jc w:val="both"/>
        <w:rPr>
          <w:rFonts w:cs="Times New Roman"/>
          <w:color w:val="000000"/>
          <w:szCs w:val="24"/>
        </w:rPr>
      </w:pPr>
      <w:r>
        <w:rPr>
          <w:rFonts w:cs="Times New Roman"/>
          <w:color w:themeColor="text1" w:val="000000"/>
          <w:szCs w:val="24"/>
        </w:rPr>
        <w:t xml:space="preserve">Mokymų tikslinė grupė (toliau – tikslinė grupė): </w:t>
      </w:r>
      <w:r>
        <w:rPr/>
        <w:t>sveikatos priežiūros specialistai (šeimos gydytojai, gydytojai endokrinologai, gydytojai psichiatrai, medicinos psichologai ir kiti sveikatos priežiūros specialistai, teikiantys sveikatos priežiūros paslaugas pacientams</w:t>
      </w:r>
      <w:r>
        <w:rPr>
          <w:rFonts w:cs="Times New Roman"/>
          <w:color w:themeColor="text1" w:val="000000"/>
          <w:szCs w:val="24"/>
        </w:rPr>
        <w:t>.</w:t>
      </w:r>
    </w:p>
    <w:p>
      <w:pPr>
        <w:pStyle w:val="Normal"/>
        <w:widowControl w:val="false"/>
        <w:numPr>
          <w:ilvl w:val="0"/>
          <w:numId w:val="5"/>
        </w:numPr>
        <w:tabs>
          <w:tab w:val="clear" w:pos="1296"/>
          <w:tab w:val="left" w:pos="142" w:leader="none"/>
          <w:tab w:val="left" w:pos="851" w:leader="none"/>
          <w:tab w:val="left" w:pos="1418" w:leader="none"/>
        </w:tabs>
        <w:spacing w:lineRule="auto" w:line="276" w:before="0" w:after="0"/>
        <w:ind w:firstLine="851" w:left="0"/>
        <w:contextualSpacing/>
        <w:jc w:val="both"/>
        <w:rPr>
          <w:rFonts w:cs="Times New Roman"/>
          <w:szCs w:val="24"/>
        </w:rPr>
      </w:pPr>
      <w:r>
        <w:rPr>
          <w:rFonts w:cs="Times New Roman"/>
          <w:szCs w:val="24"/>
        </w:rPr>
        <w:t xml:space="preserve">Pirkimas į dalis neskaidomas. </w:t>
      </w:r>
    </w:p>
    <w:p>
      <w:pPr>
        <w:pStyle w:val="ListParagraph"/>
        <w:widowControl w:val="false"/>
        <w:numPr>
          <w:ilvl w:val="0"/>
          <w:numId w:val="5"/>
        </w:numPr>
        <w:tabs>
          <w:tab w:val="clear" w:pos="1296"/>
          <w:tab w:val="left" w:pos="142" w:leader="none"/>
          <w:tab w:val="left" w:pos="1418" w:leader="none"/>
        </w:tabs>
        <w:spacing w:lineRule="auto" w:line="276"/>
        <w:ind w:firstLine="851" w:left="0"/>
        <w:jc w:val="both"/>
        <w:rPr>
          <w:rFonts w:cs="Times New Roman"/>
        </w:rPr>
      </w:pPr>
      <w:r>
        <w:rPr>
          <w:rFonts w:cs="Times New Roman"/>
        </w:rPr>
        <w:t>Paslaugų tiekėjas (toliau – Tiekėjas) turi įgyvendinti Techninėje specifikacijoje numatytus reikalavimus per 6 (šešis) mėnesius nuo sutarties įsigaliojimo dienos.</w:t>
      </w:r>
    </w:p>
    <w:p>
      <w:pPr>
        <w:pStyle w:val="Normal"/>
        <w:widowControl w:val="false"/>
        <w:tabs>
          <w:tab w:val="clear" w:pos="1296"/>
          <w:tab w:val="left" w:pos="851" w:leader="none"/>
          <w:tab w:val="left" w:pos="993" w:leader="none"/>
          <w:tab w:val="left" w:pos="1276" w:leader="none"/>
        </w:tabs>
        <w:spacing w:lineRule="auto" w:line="276" w:before="0" w:after="0"/>
        <w:ind w:left="709"/>
        <w:contextualSpacing/>
        <w:jc w:val="both"/>
        <w:rPr>
          <w:rFonts w:cs="Times New Roman"/>
          <w:color w:val="000000"/>
          <w:szCs w:val="24"/>
        </w:rPr>
      </w:pPr>
      <w:r>
        <w:rPr>
          <w:rFonts w:cs="Times New Roman"/>
          <w:color w:val="000000"/>
          <w:szCs w:val="24"/>
        </w:rPr>
      </w:r>
    </w:p>
    <w:p>
      <w:pPr>
        <w:pStyle w:val="Prastasis1"/>
        <w:spacing w:before="0" w:after="0"/>
        <w:jc w:val="center"/>
        <w:rPr>
          <w:rFonts w:eastAsia="Times New Roman" w:cs="Times New Roman"/>
          <w:b/>
          <w:lang w:val="lt-LT"/>
        </w:rPr>
      </w:pPr>
      <w:bookmarkStart w:id="9" w:name="_Hlk77258429"/>
      <w:r>
        <w:rPr>
          <w:rFonts w:eastAsia="Times New Roman" w:cs="Times New Roman"/>
          <w:b/>
          <w:lang w:val="lt-LT"/>
        </w:rPr>
        <w:t>II SKYRIUS</w:t>
      </w:r>
    </w:p>
    <w:p>
      <w:pPr>
        <w:pStyle w:val="Prastasis1"/>
        <w:spacing w:before="0" w:after="0"/>
        <w:jc w:val="center"/>
        <w:rPr>
          <w:rFonts w:eastAsia="Times New Roman" w:cs="Times New Roman"/>
          <w:b/>
          <w:bCs/>
          <w:lang w:val="lt-LT"/>
        </w:rPr>
      </w:pPr>
      <w:r>
        <w:rPr>
          <w:rFonts w:eastAsia="Times New Roman" w:cs="Times New Roman"/>
          <w:b/>
          <w:bCs/>
          <w:lang w:val="lt-LT"/>
        </w:rPr>
        <w:t>REIKALAVIMAI NUOTOLINIŲ MOKYMŲ MEDŽIAGOS TURINIUI</w:t>
      </w:r>
    </w:p>
    <w:p>
      <w:pPr>
        <w:pStyle w:val="Prastasis1"/>
        <w:spacing w:before="0" w:after="0"/>
        <w:jc w:val="center"/>
        <w:rPr>
          <w:rFonts w:eastAsia="Times New Roman" w:cs="Times New Roman"/>
          <w:b/>
          <w:lang w:val="lt-LT"/>
        </w:rPr>
      </w:pPr>
      <w:r>
        <w:rPr>
          <w:rFonts w:eastAsia="Times New Roman" w:cs="Times New Roman"/>
          <w:b/>
          <w:lang w:val="lt-LT"/>
        </w:rPr>
      </w:r>
    </w:p>
    <w:p>
      <w:pPr>
        <w:pStyle w:val="Paragraph"/>
        <w:numPr>
          <w:ilvl w:val="0"/>
          <w:numId w:val="5"/>
        </w:numPr>
        <w:tabs>
          <w:tab w:val="clear" w:pos="1296"/>
          <w:tab w:val="left" w:pos="1276" w:leader="none"/>
        </w:tabs>
        <w:spacing w:lineRule="auto" w:line="276" w:beforeAutospacing="0" w:before="0" w:afterAutospacing="0" w:after="0"/>
        <w:ind w:firstLine="851" w:left="0"/>
        <w:jc w:val="both"/>
        <w:textAlignment w:val="baseline"/>
        <w:rPr/>
      </w:pPr>
      <w:r>
        <w:rPr>
          <w:rStyle w:val="Normaltextrun"/>
          <w:rFonts w:eastAsia="游ゴシック Light" w:eastAsiaTheme="majorEastAsia"/>
        </w:rPr>
        <w:t>Reikalavimai nuotolinių mokymų medžiagos turinio kūrimui:</w:t>
      </w:r>
      <w:r>
        <w:rPr>
          <w:rStyle w:val="Eop"/>
          <w:rFonts w:eastAsia="游ゴシック Light" w:eastAsiaTheme="majorEastAsia"/>
        </w:rPr>
        <w:t> </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pPr>
      <w:r>
        <w:rPr>
          <w:rStyle w:val="Normaltextrun"/>
          <w:rFonts w:eastAsia="游ゴシック Light" w:eastAsiaTheme="majorEastAsia"/>
        </w:rPr>
        <w:t>Mokymų turinys turi būti parengtas lietuvių kalba; išdėstytas nuosekliai, suprantamai ir aiškiai, esant poreikiui gali būti pateikiami kai kurių vartojamų terminų paaiškinimai;</w:t>
      </w:r>
      <w:r>
        <w:rPr>
          <w:rStyle w:val="Eop"/>
          <w:rFonts w:eastAsia="游ゴシック Light" w:eastAsiaTheme="majorEastAsia"/>
        </w:rPr>
        <w:t> </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pPr>
      <w:r>
        <w:rPr>
          <w:rStyle w:val="Normaltextrun"/>
          <w:rFonts w:eastAsia="游ゴシック Light" w:eastAsiaTheme="majorEastAsia"/>
        </w:rPr>
        <w:t>Mokymų turinyje turi būti nurodyti mokymų tikslai, siekiami mokymosi rezultatai;</w:t>
      </w:r>
      <w:r>
        <w:rPr>
          <w:rStyle w:val="Eop"/>
          <w:rFonts w:eastAsia="游ゴシック Light" w:eastAsiaTheme="majorEastAsia"/>
        </w:rPr>
        <w:t> </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rStyle w:val="Normaltextrun"/>
        </w:rPr>
      </w:pPr>
      <w:r>
        <w:rPr>
          <w:rStyle w:val="Normaltextrun"/>
          <w:rFonts w:eastAsia="游ゴシック Light" w:eastAsiaTheme="majorEastAsia"/>
        </w:rPr>
        <w:t xml:space="preserve">Mokymų turinys turi būti sukurtas taip, kad tikslinėje grupėje nurodyti specialistai gautų pagrindines, aktualias ir svarbias žinias, įgytų įgūdžius bei ugdytų kompetencijas </w:t>
      </w:r>
      <w:r>
        <w:rPr>
          <w:rFonts w:eastAsia="游ゴシック Light" w:eastAsiaTheme="majorEastAsia"/>
        </w:rPr>
        <w:t>LGBTQI+ asmenų sveikatos priežiūros srityje, įskaitant psichikos sveikatos ypatumus, stiprintų gebėjimus teikti lygiavertes, jautrias paslaugas bei mažinti diskriminacijos ir stigmos riziką</w:t>
      </w:r>
      <w:r>
        <w:rPr>
          <w:rStyle w:val="Normaltextrun"/>
          <w:rFonts w:eastAsia="游ゴシック Light" w:eastAsiaTheme="majorEastAsia"/>
        </w:rPr>
        <w:t xml:space="preserve">; </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pPr>
      <w:r>
        <w:rPr/>
        <w:t>Mokymų turinys turi būti paremtas šiuolaikiniais ir aktualiais literatūros šaltiniais, atitinkančiais tematiką;</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rStyle w:val="Eop"/>
        </w:rPr>
      </w:pPr>
      <w:r>
        <w:rPr>
          <w:rStyle w:val="Normaltextrun"/>
          <w:rFonts w:eastAsia="游ゴシック Light" w:eastAsiaTheme="majorEastAsia"/>
        </w:rPr>
        <w:t>Mokymų turinys turi turėti aiškią struktūrą (temos turi būti aiškiai atskirtos, identifikuojant, ką kiekvienoje temoje tikslinėje grupėje nurodyti specialistai turi išmokti);</w:t>
      </w:r>
      <w:r>
        <w:rPr>
          <w:rStyle w:val="Eop"/>
          <w:rFonts w:eastAsia="游ゴシック Light" w:eastAsiaTheme="majorEastAsia"/>
        </w:rPr>
        <w:t> </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pPr>
      <w:r>
        <w:rPr/>
        <w:t>Tobulinimo dalykai / temos turi būti išdėstyti nuosekliai, remiantis tobulinimo programos planu;</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pPr>
      <w:r>
        <w:rPr/>
        <w:t xml:space="preserve"> </w:t>
      </w:r>
      <w:r>
        <w:rPr/>
        <w:t>Parengtoje mokymų medžiagoje mokymų temos turi būti pristatytos naudojant tikslingai parinktus mokymo (-si) metodus (paskaita, paskaitos skaidrių demonstravimas, atvejų analizė, įgūdžių formavimo situacijos), orientuotus į siekiamą mokymų tikslą;</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rStyle w:val="Eop"/>
        </w:rPr>
      </w:pPr>
      <w:r>
        <w:rPr>
          <w:rStyle w:val="Normaltextrun"/>
          <w:rFonts w:eastAsia="游ゴシック Light" w:eastAsiaTheme="majorEastAsia"/>
        </w:rPr>
        <w:t>Mokymų turinys turi būti išsamus, pakankamas savarankiškam mokymuisi, orientuotas į tobulinimo programoje nurodytus rezultatus (ką tikslinėje grupėje nurodyti specialistai turėtų žinoti ir gebėti pasibaigus mokymo procesui);</w:t>
      </w:r>
      <w:r>
        <w:rPr>
          <w:rStyle w:val="Eop"/>
          <w:rFonts w:eastAsia="游ゴシック Light" w:eastAsiaTheme="majorEastAsia"/>
        </w:rPr>
        <w:t> </w:t>
      </w:r>
    </w:p>
    <w:p>
      <w:pPr>
        <w:pStyle w:val="Paragraph"/>
        <w:numPr>
          <w:ilvl w:val="1"/>
          <w:numId w:val="5"/>
        </w:numPr>
        <w:tabs>
          <w:tab w:val="clear" w:pos="1296"/>
          <w:tab w:val="left" w:pos="1418" w:leader="none"/>
        </w:tabs>
        <w:spacing w:lineRule="auto" w:line="276" w:beforeAutospacing="0" w:before="0" w:afterAutospacing="0" w:after="0"/>
        <w:ind w:firstLine="851" w:left="0"/>
        <w:jc w:val="both"/>
        <w:textAlignment w:val="baseline"/>
        <w:rPr>
          <w:rStyle w:val="Eop"/>
        </w:rPr>
      </w:pPr>
      <w:r>
        <w:rPr>
          <w:rStyle w:val="Normaltextrun"/>
          <w:rFonts w:eastAsia="游ゴシック Light" w:eastAsiaTheme="majorEastAsia"/>
        </w:rPr>
        <w:t>Mokymų turinys turi apimti pasakojamąjį tekstą, skirtą e. mokymų naudotojams, pavyzdinių praktinių užduočių ir žinių patikrinimo testų, pritaikytų e. mokymams ir rekomenduojamų vizualinio turinio sprendimų aprašymą;</w:t>
      </w:r>
      <w:r>
        <w:rPr>
          <w:rStyle w:val="Eop"/>
          <w:rFonts w:eastAsia="游ゴシック Light" w:eastAsiaTheme="majorEastAsia"/>
        </w:rPr>
        <w:t> </w:t>
      </w:r>
    </w:p>
    <w:p>
      <w:pPr>
        <w:pStyle w:val="Paragraph"/>
        <w:numPr>
          <w:ilvl w:val="1"/>
          <w:numId w:val="5"/>
        </w:numPr>
        <w:tabs>
          <w:tab w:val="clear" w:pos="1296"/>
          <w:tab w:val="left" w:pos="1560" w:leader="none"/>
        </w:tabs>
        <w:spacing w:lineRule="auto" w:line="276" w:beforeAutospacing="0" w:before="0" w:afterAutospacing="0" w:after="0"/>
        <w:ind w:firstLine="851" w:left="0"/>
        <w:jc w:val="both"/>
        <w:textAlignment w:val="baseline"/>
        <w:rPr/>
      </w:pPr>
      <w:r>
        <w:rPr/>
        <w:t>Parengtoje mokymų medžiagoje naudojami metodiniai ištekliai (paruošti pranešimai (metodinė medžiaga), dalijamoji medžiaga mokymo dalyviams (skaitmeniniu formatu), praktinių užduočių medžiaga, videopaskaita) turi būti pakankami atskleisti mokymų programos turinį pagal pateiktą valandų skaičiaus kriterijų;</w:t>
      </w:r>
    </w:p>
    <w:p>
      <w:pPr>
        <w:pStyle w:val="Paragraph"/>
        <w:numPr>
          <w:ilvl w:val="1"/>
          <w:numId w:val="5"/>
        </w:numPr>
        <w:tabs>
          <w:tab w:val="clear" w:pos="1296"/>
          <w:tab w:val="left" w:pos="1560" w:leader="none"/>
        </w:tabs>
        <w:spacing w:lineRule="auto" w:line="276" w:beforeAutospacing="0" w:before="0" w:afterAutospacing="0" w:after="0"/>
        <w:ind w:firstLine="851" w:left="0"/>
        <w:jc w:val="both"/>
        <w:textAlignment w:val="baseline"/>
        <w:rPr>
          <w:rStyle w:val="Eop"/>
        </w:rPr>
      </w:pPr>
      <w:r>
        <w:rPr>
          <w:rStyle w:val="Normaltextrun"/>
          <w:rFonts w:eastAsia="游ゴシック Light" w:eastAsiaTheme="majorEastAsia"/>
        </w:rPr>
        <w:t>Kiekvienos mokymo temos pabaigoje gali būti, savikontrolės testas ir / ar užduotys žinių įvertinimui (su pateiktais teisingais atsaky</w:t>
      </w:r>
      <w:r>
        <w:rPr>
          <w:rStyle w:val="Normaltextrun"/>
          <w:rFonts w:eastAsia="游ゴシック Light" w:eastAsiaTheme="majorEastAsia"/>
          <w:color w:themeColor="text1" w:val="000000"/>
        </w:rPr>
        <w:t>mais).</w:t>
      </w:r>
      <w:r>
        <w:rPr>
          <w:rStyle w:val="Eop"/>
          <w:rFonts w:eastAsia="游ゴシック Light" w:eastAsiaTheme="majorEastAsia"/>
          <w:color w:themeColor="text1" w:val="000000"/>
        </w:rPr>
        <w:t> </w:t>
      </w:r>
    </w:p>
    <w:p>
      <w:pPr>
        <w:pStyle w:val="Paragraph"/>
        <w:numPr>
          <w:ilvl w:val="1"/>
          <w:numId w:val="5"/>
        </w:numPr>
        <w:tabs>
          <w:tab w:val="clear" w:pos="1296"/>
          <w:tab w:val="left" w:pos="1560" w:leader="none"/>
        </w:tabs>
        <w:spacing w:lineRule="auto" w:line="276" w:beforeAutospacing="0" w:before="0" w:afterAutospacing="0" w:after="0"/>
        <w:ind w:firstLine="851" w:left="0"/>
        <w:jc w:val="both"/>
        <w:textAlignment w:val="baseline"/>
        <w:rPr/>
      </w:pPr>
      <w:r>
        <w:rPr>
          <w:rStyle w:val="Eop"/>
          <w:rFonts w:eastAsia="游ゴシック Light" w:eastAsiaTheme="majorEastAsia"/>
          <w:color w:themeColor="text1" w:val="000000"/>
        </w:rPr>
        <w:t xml:space="preserve">Mokymų pabaigoje turi būti baigiamasis žinių vertinimo testas </w:t>
      </w:r>
      <w:r>
        <w:rPr>
          <w:rStyle w:val="Normaltextrun"/>
          <w:rFonts w:eastAsia="游ゴシック Light" w:eastAsiaTheme="majorEastAsia"/>
        </w:rPr>
        <w:t>(10 klausimų, su pateiktais teisingais atsaky</w:t>
      </w:r>
      <w:r>
        <w:rPr>
          <w:rStyle w:val="Normaltextrun"/>
          <w:rFonts w:eastAsia="游ゴシック Light" w:eastAsiaTheme="majorEastAsia"/>
          <w:color w:themeColor="text1" w:val="000000"/>
        </w:rPr>
        <w:t>mais);</w:t>
      </w:r>
    </w:p>
    <w:p>
      <w:pPr>
        <w:pStyle w:val="Paragraph"/>
        <w:numPr>
          <w:ilvl w:val="1"/>
          <w:numId w:val="5"/>
        </w:numPr>
        <w:tabs>
          <w:tab w:val="clear" w:pos="1296"/>
          <w:tab w:val="left" w:pos="1560" w:leader="none"/>
        </w:tabs>
        <w:spacing w:lineRule="auto" w:line="276" w:beforeAutospacing="0" w:before="0" w:afterAutospacing="0" w:after="0"/>
        <w:ind w:firstLine="851" w:left="0"/>
        <w:jc w:val="both"/>
        <w:textAlignment w:val="baseline"/>
        <w:rPr>
          <w:rStyle w:val="Normaltextrun"/>
        </w:rPr>
      </w:pPr>
      <w:r>
        <w:rPr>
          <w:rStyle w:val="Normaltextrun"/>
          <w:rFonts w:eastAsia="游ゴシック Light" w:eastAsiaTheme="majorEastAsia"/>
        </w:rPr>
        <w:t>Kiekvienos mokymo temos pabaigoje turi būti nurodytas literatūros sąrašas, rekomenduojami / papildomi literatūros šaltiniai, norintiems daugiau pasigilinti į temą.</w:t>
      </w:r>
    </w:p>
    <w:p>
      <w:pPr>
        <w:pStyle w:val="Paragraph"/>
        <w:numPr>
          <w:ilvl w:val="0"/>
          <w:numId w:val="5"/>
        </w:numPr>
        <w:tabs>
          <w:tab w:val="clear" w:pos="1296"/>
          <w:tab w:val="left" w:pos="1418" w:leader="none"/>
        </w:tabs>
        <w:spacing w:lineRule="auto" w:line="276" w:beforeAutospacing="0" w:before="0" w:afterAutospacing="0" w:after="0"/>
        <w:ind w:firstLine="851" w:left="0"/>
        <w:jc w:val="both"/>
        <w:rPr/>
      </w:pPr>
      <w:r>
        <w:rPr/>
        <w:t>Parengtos mokymų medžiagos turinyje pateikiama informacija neturi prieštarauti galiojantiems Lietuvos Respublikos teisėms aktams.</w:t>
      </w:r>
    </w:p>
    <w:p>
      <w:pPr>
        <w:pStyle w:val="Prastasis1"/>
        <w:spacing w:before="0" w:after="0"/>
        <w:jc w:val="both"/>
        <w:rPr>
          <w:rFonts w:eastAsia="Times New Roman" w:cs="Times New Roman"/>
          <w:b/>
          <w:bCs/>
          <w:lang w:val="lt-LT"/>
        </w:rPr>
      </w:pPr>
      <w:r>
        <w:rPr>
          <w:rFonts w:eastAsia="Times New Roman" w:cs="Times New Roman"/>
          <w:b/>
          <w:bCs/>
          <w:lang w:val="lt-LT"/>
        </w:rPr>
      </w:r>
    </w:p>
    <w:p>
      <w:pPr>
        <w:pStyle w:val="Prastasis1"/>
        <w:spacing w:before="0" w:after="0"/>
        <w:jc w:val="center"/>
        <w:rPr>
          <w:rFonts w:eastAsia="Times New Roman" w:cs="Times New Roman"/>
          <w:b/>
          <w:lang w:val="lt-LT"/>
        </w:rPr>
      </w:pPr>
      <w:r>
        <w:rPr>
          <w:rFonts w:eastAsia="Times New Roman" w:cs="Times New Roman"/>
          <w:b/>
          <w:bCs/>
          <w:lang w:val="lt-LT"/>
        </w:rPr>
        <w:t>III SKYRIUS</w:t>
      </w:r>
    </w:p>
    <w:p>
      <w:pPr>
        <w:pStyle w:val="Prastasis1"/>
        <w:spacing w:before="0" w:after="0"/>
        <w:jc w:val="center"/>
        <w:rPr>
          <w:rFonts w:eastAsia="Times New Roman" w:cs="Times New Roman"/>
          <w:b/>
          <w:bCs/>
          <w:lang w:val="lt-LT"/>
        </w:rPr>
      </w:pPr>
      <w:r>
        <w:rPr>
          <w:rFonts w:eastAsia="Times New Roman" w:cs="Times New Roman"/>
          <w:b/>
          <w:bCs/>
          <w:lang w:val="lt-LT"/>
        </w:rPr>
        <w:t>REIKALAVIMAI NUOTOLINIŲ E. MOKYMŲ KŪRIMUI</w:t>
      </w:r>
    </w:p>
    <w:p>
      <w:pPr>
        <w:pStyle w:val="Prastasis1"/>
        <w:spacing w:before="0" w:after="0"/>
        <w:ind w:left="720"/>
        <w:contextualSpacing/>
        <w:jc w:val="center"/>
        <w:rPr>
          <w:rFonts w:eastAsia="Times New Roman" w:cs="Times New Roman"/>
          <w:b/>
          <w:color w:val="000000"/>
          <w:lang w:val="lt-LT"/>
        </w:rPr>
      </w:pPr>
      <w:r>
        <w:rPr>
          <w:rFonts w:eastAsia="Times New Roman" w:cs="Times New Roman"/>
          <w:b/>
          <w:color w:val="000000"/>
          <w:lang w:val="lt-LT"/>
        </w:rPr>
      </w:r>
    </w:p>
    <w:p>
      <w:pPr>
        <w:pStyle w:val="ListParagraph"/>
        <w:widowControl w:val="false"/>
        <w:numPr>
          <w:ilvl w:val="0"/>
          <w:numId w:val="5"/>
        </w:numPr>
        <w:tabs>
          <w:tab w:val="clear" w:pos="1296"/>
          <w:tab w:val="left" w:pos="142" w:leader="none"/>
          <w:tab w:val="left" w:pos="851" w:leader="none"/>
          <w:tab w:val="left" w:pos="1276" w:leader="none"/>
        </w:tabs>
        <w:spacing w:lineRule="auto" w:line="276"/>
        <w:ind w:firstLine="851" w:left="0"/>
        <w:jc w:val="both"/>
        <w:rPr>
          <w:rFonts w:eastAsia="Times New Roman" w:cs="Times New Roman"/>
        </w:rPr>
      </w:pPr>
      <w:r>
        <w:rPr>
          <w:rFonts w:cs="Times New Roman"/>
        </w:rPr>
        <w:t xml:space="preserve">Nuotolinių e. mokymų kūrimą apima: </w:t>
      </w:r>
    </w:p>
    <w:p>
      <w:pPr>
        <w:pStyle w:val="ListParagraph"/>
        <w:widowControl w:val="false"/>
        <w:numPr>
          <w:ilvl w:val="1"/>
          <w:numId w:val="5"/>
        </w:numPr>
        <w:tabs>
          <w:tab w:val="clear" w:pos="1296"/>
          <w:tab w:val="left" w:pos="142" w:leader="none"/>
          <w:tab w:val="left" w:pos="568" w:leader="none"/>
          <w:tab w:val="left" w:pos="709" w:leader="none"/>
          <w:tab w:val="left" w:pos="851" w:leader="none"/>
          <w:tab w:val="left" w:pos="1418" w:leader="none"/>
        </w:tabs>
        <w:spacing w:lineRule="auto" w:line="276"/>
        <w:ind w:firstLine="851" w:left="0"/>
        <w:jc w:val="both"/>
        <w:rPr>
          <w:rFonts w:cs="Times New Roman"/>
        </w:rPr>
      </w:pPr>
      <w:r>
        <w:rPr>
          <w:rFonts w:cs="Times New Roman"/>
        </w:rPr>
        <w:t>E. mokymų kūrimo planavimą (koncepcijos išgryninimą, e. mokymų kūrimo plano parengimą ir pan.);</w:t>
      </w:r>
    </w:p>
    <w:p>
      <w:pPr>
        <w:pStyle w:val="ListParagraph"/>
        <w:widowControl w:val="false"/>
        <w:numPr>
          <w:ilvl w:val="1"/>
          <w:numId w:val="5"/>
        </w:numPr>
        <w:tabs>
          <w:tab w:val="clear" w:pos="1296"/>
          <w:tab w:val="left" w:pos="142" w:leader="none"/>
          <w:tab w:val="left" w:pos="568" w:leader="none"/>
          <w:tab w:val="left" w:pos="709" w:leader="none"/>
          <w:tab w:val="left" w:pos="851" w:leader="none"/>
          <w:tab w:val="left" w:pos="1418" w:leader="none"/>
        </w:tabs>
        <w:spacing w:lineRule="auto" w:line="276"/>
        <w:ind w:firstLine="851" w:left="0"/>
        <w:jc w:val="both"/>
        <w:rPr>
          <w:rFonts w:cs="Times New Roman"/>
        </w:rPr>
      </w:pPr>
      <w:r>
        <w:rPr>
          <w:rFonts w:cs="Times New Roman"/>
        </w:rPr>
        <w:t>E. mokymų turinio kūrimą (scenarijaus rengimą, tekstų, testų, užduočių paruošimą ir pan.);</w:t>
      </w:r>
    </w:p>
    <w:p>
      <w:pPr>
        <w:pStyle w:val="Normal"/>
        <w:widowControl w:val="false"/>
        <w:numPr>
          <w:ilvl w:val="1"/>
          <w:numId w:val="5"/>
        </w:numPr>
        <w:tabs>
          <w:tab w:val="clear" w:pos="1296"/>
          <w:tab w:val="left" w:pos="142" w:leader="none"/>
          <w:tab w:val="left" w:pos="1418" w:leader="none"/>
        </w:tabs>
        <w:spacing w:lineRule="auto" w:line="276" w:before="0" w:after="0"/>
        <w:ind w:firstLine="851" w:left="0"/>
        <w:contextualSpacing/>
        <w:jc w:val="both"/>
        <w:rPr>
          <w:rFonts w:cs="Times New Roman"/>
        </w:rPr>
      </w:pPr>
      <w:r>
        <w:rPr>
          <w:rFonts w:cs="Times New Roman"/>
        </w:rPr>
        <w:t>E. mokymų gamybą (grafinių elementų parinkimą, įgarsinimo, maketavimo / montavimo darbus, video mokymų ir kitų elementų integravimą);</w:t>
      </w:r>
    </w:p>
    <w:p>
      <w:pPr>
        <w:pStyle w:val="ListParagraph"/>
        <w:widowControl w:val="false"/>
        <w:numPr>
          <w:ilvl w:val="1"/>
          <w:numId w:val="5"/>
        </w:numPr>
        <w:tabs>
          <w:tab w:val="clear" w:pos="1296"/>
          <w:tab w:val="left" w:pos="142" w:leader="none"/>
          <w:tab w:val="left" w:pos="1418" w:leader="none"/>
        </w:tabs>
        <w:spacing w:lineRule="auto" w:line="276"/>
        <w:ind w:firstLine="851" w:left="0"/>
        <w:rPr>
          <w:rFonts w:cs="Times New Roman"/>
        </w:rPr>
      </w:pPr>
      <w:r>
        <w:rPr>
          <w:rFonts w:cs="Times New Roman"/>
        </w:rPr>
        <w:t>E. mokymų testavimą.</w:t>
      </w:r>
    </w:p>
    <w:p>
      <w:pPr>
        <w:pStyle w:val="Normal"/>
        <w:widowControl w:val="false"/>
        <w:numPr>
          <w:ilvl w:val="0"/>
          <w:numId w:val="5"/>
        </w:numPr>
        <w:tabs>
          <w:tab w:val="clear" w:pos="1296"/>
          <w:tab w:val="left" w:pos="851" w:leader="none"/>
          <w:tab w:val="left" w:pos="993" w:leader="none"/>
          <w:tab w:val="left" w:pos="1193" w:leader="none"/>
        </w:tabs>
        <w:spacing w:lineRule="auto" w:line="276"/>
        <w:ind w:firstLine="851" w:left="0"/>
        <w:jc w:val="both"/>
        <w:rPr>
          <w:rFonts w:cs="Times New Roman"/>
          <w:color w:val="C00000"/>
        </w:rPr>
      </w:pPr>
      <w:r>
        <w:rPr>
          <w:rFonts w:cs="Times New Roman"/>
        </w:rPr>
        <w:t xml:space="preserve">Parengtuose e. mokymuose turi būti: </w:t>
      </w:r>
    </w:p>
    <w:p>
      <w:pPr>
        <w:pStyle w:val="ListParagraph"/>
        <w:widowControl w:val="false"/>
        <w:numPr>
          <w:ilvl w:val="1"/>
          <w:numId w:val="5"/>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 xml:space="preserve">pateiktas grafinis apipavidalinimas (ikonos, nuotraukos, iliustracijos ir kt.), nepažeidžiant </w:t>
        <w:br/>
        <w:t>29 p. reikalavimų;</w:t>
      </w:r>
    </w:p>
    <w:p>
      <w:pPr>
        <w:pStyle w:val="ListParagraph"/>
        <w:widowControl w:val="false"/>
        <w:numPr>
          <w:ilvl w:val="1"/>
          <w:numId w:val="5"/>
        </w:numPr>
        <w:tabs>
          <w:tab w:val="clear" w:pos="1296"/>
          <w:tab w:val="left" w:pos="1134" w:leader="none"/>
          <w:tab w:val="left" w:pos="1193" w:leader="none"/>
          <w:tab w:val="left" w:pos="1418" w:leader="none"/>
        </w:tabs>
        <w:spacing w:lineRule="auto" w:line="276"/>
        <w:ind w:firstLine="851" w:left="0"/>
        <w:jc w:val="both"/>
        <w:rPr>
          <w:rFonts w:cs="Times New Roman"/>
        </w:rPr>
      </w:pPr>
      <w:r>
        <w:rPr/>
        <w:t>naudojantis dirbtiniu intelektu turi būti nurodyta, kad medžiaga, paveikslėliai, grafikai ir</w:t>
        <w:br/>
        <w:t>kt. parengti naudojantis dirbtiniu intelektu;</w:t>
      </w:r>
    </w:p>
    <w:p>
      <w:pPr>
        <w:pStyle w:val="ListParagraph"/>
        <w:widowControl w:val="false"/>
        <w:numPr>
          <w:ilvl w:val="1"/>
          <w:numId w:val="5"/>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 xml:space="preserve">savikontrolės testai ir / ar užduotys, baigiamasis žinių vertinimo testas pritaikyti virtualiai mokymosi aplinkai Moodle </w:t>
      </w:r>
      <w:r>
        <w:rPr>
          <w:rFonts w:eastAsia="Times New Roman" w:cs="Times New Roman"/>
        </w:rPr>
        <w:t>arba lygiavertei šiai sistemai platformai, užtikrinančiai panašias funkcionalumo ir naudojimo galimybes</w:t>
      </w:r>
      <w:r>
        <w:rPr>
          <w:rFonts w:cs="Times New Roman"/>
        </w:rPr>
        <w:t>. Jei pasirinkami testo tipo klausimai, jie gali būti su vienu arba keliais atsakymo variantais, „True / False“, „Drag-and-drop” pratimai ir pan.;</w:t>
      </w:r>
    </w:p>
    <w:p>
      <w:pPr>
        <w:pStyle w:val="ListParagraph"/>
        <w:widowControl w:val="false"/>
        <w:numPr>
          <w:ilvl w:val="1"/>
          <w:numId w:val="5"/>
        </w:numPr>
        <w:tabs>
          <w:tab w:val="clear" w:pos="1296"/>
          <w:tab w:val="left" w:pos="1134" w:leader="none"/>
          <w:tab w:val="left" w:pos="1193" w:leader="none"/>
          <w:tab w:val="left" w:pos="1418" w:leader="none"/>
        </w:tabs>
        <w:spacing w:lineRule="auto" w:line="276"/>
        <w:ind w:firstLine="851" w:left="0"/>
        <w:jc w:val="both"/>
        <w:rPr>
          <w:rFonts w:eastAsia="游ゴシック" w:eastAsiaTheme="minorEastAsia"/>
        </w:rPr>
      </w:pPr>
      <w:r>
        <w:rPr>
          <w:rFonts w:eastAsia="游ゴシック" w:eastAsiaTheme="minorEastAsia"/>
        </w:rPr>
        <w:t>naudojamas kokybiškas, be pašalinių garsų ar trikdžių vaizdo medžiagos įgarsinimas, užtikrinant sklandų mokymosi procesą;</w:t>
      </w:r>
    </w:p>
    <w:p>
      <w:pPr>
        <w:pStyle w:val="ListParagraph"/>
        <w:widowControl w:val="false"/>
        <w:numPr>
          <w:ilvl w:val="1"/>
          <w:numId w:val="5"/>
        </w:numPr>
        <w:tabs>
          <w:tab w:val="clear" w:pos="1296"/>
          <w:tab w:val="left" w:pos="1134" w:leader="none"/>
          <w:tab w:val="left" w:pos="1193" w:leader="none"/>
          <w:tab w:val="left" w:pos="1418" w:leader="none"/>
        </w:tabs>
        <w:spacing w:lineRule="auto" w:line="276"/>
        <w:ind w:firstLine="851" w:left="0"/>
        <w:jc w:val="both"/>
        <w:rPr>
          <w:rFonts w:eastAsia="游ゴシック" w:eastAsiaTheme="minorEastAsia"/>
        </w:rPr>
      </w:pPr>
      <w:r>
        <w:rPr>
          <w:rFonts w:eastAsia="游ゴシック" w:eastAsiaTheme="minorEastAsia"/>
        </w:rPr>
        <w:t>mokomoji medžiaga (teorinė dalis) turi būti įgarsinta;</w:t>
      </w:r>
    </w:p>
    <w:p>
      <w:pPr>
        <w:pStyle w:val="ListParagraph"/>
        <w:widowControl w:val="false"/>
        <w:numPr>
          <w:ilvl w:val="1"/>
          <w:numId w:val="5"/>
        </w:numPr>
        <w:tabs>
          <w:tab w:val="clear" w:pos="1296"/>
          <w:tab w:val="left" w:pos="1134" w:leader="none"/>
          <w:tab w:val="left" w:pos="1193" w:leader="none"/>
          <w:tab w:val="left" w:pos="1418" w:leader="none"/>
        </w:tabs>
        <w:spacing w:lineRule="auto" w:line="276"/>
        <w:ind w:firstLine="851" w:left="0"/>
        <w:jc w:val="both"/>
        <w:rPr>
          <w:rFonts w:eastAsia="游ゴシック" w:eastAsiaTheme="minorEastAsia"/>
        </w:rPr>
      </w:pPr>
      <w:r>
        <w:rPr>
          <w:rFonts w:eastAsia="Times New Roman" w:cs="Times New Roman"/>
          <w:b w:val="false"/>
          <w:bCs w:val="false"/>
          <w:i w:val="false"/>
          <w:iCs w:val="false"/>
          <w:caps w:val="false"/>
          <w:smallCaps w:val="false"/>
          <w:color w:themeColor="text1" w:val="000000"/>
          <w:sz w:val="24"/>
          <w:szCs w:val="24"/>
          <w:lang w:val="lt-LT"/>
        </w:rPr>
        <w:t>lektoriaus vaizdas, kai vaizdo įraše matomas lektorius, pristatantis dėstomą temą</w:t>
      </w:r>
      <w:r>
        <w:rPr>
          <w:rFonts w:eastAsia="游ゴシック" w:eastAsiaTheme="minorEastAsia"/>
        </w:rPr>
        <w:t xml:space="preserve">: </w:t>
      </w:r>
    </w:p>
    <w:p>
      <w:pPr>
        <w:pStyle w:val="ListParagraph"/>
        <w:widowControl w:val="false"/>
        <w:numPr>
          <w:ilvl w:val="2"/>
          <w:numId w:val="2"/>
        </w:numPr>
        <w:tabs>
          <w:tab w:val="clear" w:pos="1296"/>
          <w:tab w:val="left" w:pos="1134" w:leader="none"/>
          <w:tab w:val="left" w:pos="1193" w:leader="none"/>
          <w:tab w:val="left" w:pos="1701" w:leader="none"/>
        </w:tabs>
        <w:spacing w:lineRule="auto" w:line="276"/>
        <w:ind w:hanging="795" w:left="1646"/>
        <w:jc w:val="both"/>
        <w:rPr>
          <w:rFonts w:eastAsia="游ゴシック" w:eastAsiaTheme="minorEastAsia"/>
        </w:rPr>
      </w:pPr>
      <w:r>
        <w:rPr>
          <w:rFonts w:eastAsia="游ゴシック" w:eastAsiaTheme="minorEastAsia"/>
        </w:rPr>
        <w:t xml:space="preserve">neutralus fonas, geras apšvietimas; </w:t>
      </w:r>
    </w:p>
    <w:p>
      <w:pPr>
        <w:pStyle w:val="ListParagraph"/>
        <w:widowControl w:val="false"/>
        <w:numPr>
          <w:ilvl w:val="2"/>
          <w:numId w:val="2"/>
        </w:numPr>
        <w:tabs>
          <w:tab w:val="clear" w:pos="1296"/>
          <w:tab w:val="left" w:pos="1134" w:leader="none"/>
          <w:tab w:val="left" w:pos="1193" w:leader="none"/>
          <w:tab w:val="left" w:pos="1560" w:leader="none"/>
        </w:tabs>
        <w:spacing w:lineRule="auto" w:line="276"/>
        <w:ind w:hanging="795" w:left="1646"/>
        <w:jc w:val="both"/>
        <w:rPr>
          <w:rFonts w:eastAsia="游ゴシック" w:eastAsiaTheme="minorEastAsia"/>
        </w:rPr>
      </w:pPr>
      <w:r>
        <w:rPr>
          <w:rFonts w:eastAsia="游ゴシック" w:eastAsiaTheme="minorEastAsia"/>
        </w:rPr>
        <w:t>lektoriaus galva ir pečiai centre, žiūrima tiesiai į kamerą;</w:t>
      </w:r>
    </w:p>
    <w:p>
      <w:pPr>
        <w:pStyle w:val="ListParagraph"/>
        <w:widowControl w:val="false"/>
        <w:numPr>
          <w:ilvl w:val="2"/>
          <w:numId w:val="2"/>
        </w:numPr>
        <w:tabs>
          <w:tab w:val="clear" w:pos="1296"/>
          <w:tab w:val="left" w:pos="1560" w:leader="none"/>
        </w:tabs>
        <w:spacing w:lineRule="auto" w:line="276"/>
        <w:ind w:firstLine="851" w:left="0"/>
        <w:jc w:val="both"/>
        <w:rPr>
          <w:rFonts w:eastAsia="游ゴシック" w:eastAsiaTheme="minorEastAsia"/>
        </w:rPr>
      </w:pPr>
      <w:r>
        <w:rPr>
          <w:rFonts w:eastAsia="游ゴシック" w:eastAsiaTheme="minorEastAsia"/>
        </w:rPr>
        <w:t>lektoriaus apranga – neutrali spalvinė gama, suderinta su mokymų spalvine gama. Vengti ryškių ar margų rūbų;</w:t>
      </w:r>
    </w:p>
    <w:p>
      <w:pPr>
        <w:pStyle w:val="ListParagraph"/>
        <w:widowControl w:val="false"/>
        <w:numPr>
          <w:ilvl w:val="2"/>
          <w:numId w:val="2"/>
        </w:numPr>
        <w:tabs>
          <w:tab w:val="clear" w:pos="1296"/>
          <w:tab w:val="left" w:pos="1560" w:leader="none"/>
        </w:tabs>
        <w:spacing w:lineRule="auto" w:line="276"/>
        <w:ind w:firstLine="851" w:left="0"/>
        <w:jc w:val="both"/>
        <w:rPr>
          <w:rFonts w:eastAsia="游ゴシック" w:eastAsiaTheme="minorEastAsia"/>
        </w:rPr>
      </w:pPr>
      <w:r>
        <w:rPr>
          <w:rFonts w:eastAsia="游ゴシック" w:eastAsiaTheme="minorEastAsia"/>
        </w:rPr>
        <w:t>lektoriaus balso tonas – aiškus, ramus, artikuliuotas;</w:t>
      </w:r>
    </w:p>
    <w:p>
      <w:pPr>
        <w:pStyle w:val="ListParagraph"/>
        <w:widowControl w:val="false"/>
        <w:numPr>
          <w:ilvl w:val="1"/>
          <w:numId w:val="2"/>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kiekviena mokymų tema turi turėti interaktyvias praktines užduotis;</w:t>
      </w:r>
    </w:p>
    <w:p>
      <w:pPr>
        <w:pStyle w:val="ListParagraph"/>
        <w:widowControl w:val="false"/>
        <w:numPr>
          <w:ilvl w:val="1"/>
          <w:numId w:val="2"/>
        </w:numPr>
        <w:tabs>
          <w:tab w:val="clear" w:pos="1296"/>
          <w:tab w:val="left" w:pos="1134" w:leader="none"/>
          <w:tab w:val="left" w:pos="1193" w:leader="none"/>
          <w:tab w:val="left" w:pos="1418" w:leader="none"/>
        </w:tabs>
        <w:spacing w:lineRule="auto" w:line="276"/>
        <w:ind w:firstLine="851" w:left="0"/>
        <w:jc w:val="both"/>
        <w:rPr>
          <w:rFonts w:cs="Times New Roman"/>
        </w:rPr>
      </w:pPr>
      <w:r>
        <w:rPr>
          <w:rFonts w:cs="Times New Roman"/>
        </w:rPr>
        <w:t>vaizdo įrašai ir kita e. mokymų medžiaga suglaudinta optimaliam kokybės ir failo dydžio santykiui;</w:t>
      </w:r>
    </w:p>
    <w:p>
      <w:pPr>
        <w:pStyle w:val="ListParagraph"/>
        <w:widowControl w:val="false"/>
        <w:numPr>
          <w:ilvl w:val="1"/>
          <w:numId w:val="2"/>
        </w:numPr>
        <w:tabs>
          <w:tab w:val="clear" w:pos="1296"/>
          <w:tab w:val="left" w:pos="1134" w:leader="none"/>
          <w:tab w:val="left" w:pos="1193" w:leader="none"/>
          <w:tab w:val="left" w:pos="1560" w:leader="none"/>
        </w:tabs>
        <w:spacing w:lineRule="auto" w:line="276"/>
        <w:ind w:firstLine="851" w:left="0"/>
        <w:jc w:val="both"/>
        <w:rPr>
          <w:rFonts w:cs="Times New Roman"/>
        </w:rPr>
      </w:pPr>
      <w:r>
        <w:rPr>
          <w:rFonts w:cs="Times New Roman"/>
        </w:rPr>
        <w:t>naudojama taisyklinga lietuvių kalba visam e. mokymų turiniui.</w:t>
      </w:r>
    </w:p>
    <w:p>
      <w:pPr>
        <w:pStyle w:val="ListParagraph"/>
        <w:widowControl w:val="false"/>
        <w:numPr>
          <w:ilvl w:val="0"/>
          <w:numId w:val="2"/>
        </w:numPr>
        <w:tabs>
          <w:tab w:val="clear" w:pos="1296"/>
          <w:tab w:val="left" w:pos="851" w:leader="none"/>
          <w:tab w:val="left" w:pos="1193" w:leader="none"/>
          <w:tab w:val="left" w:pos="1418" w:leader="none"/>
        </w:tabs>
        <w:spacing w:lineRule="auto" w:line="276"/>
        <w:ind w:firstLine="851" w:left="0"/>
        <w:jc w:val="both"/>
        <w:rPr>
          <w:rFonts w:eastAsia="Times New Roman" w:cs="Times New Roman"/>
        </w:rPr>
      </w:pPr>
      <w:r>
        <w:rPr>
          <w:rFonts w:eastAsia="游ゴシック" w:eastAsiaTheme="minorEastAsia"/>
        </w:rPr>
        <w:t>Užtikrinti aktyvų įsitraukimą ir efektyvų mokymąsi e. mokymo turinys turi būti pateiktas šiomis formomis:</w:t>
      </w:r>
    </w:p>
    <w:p>
      <w:pPr>
        <w:pStyle w:val="ListParagraph"/>
        <w:widowControl w:val="false"/>
        <w:numPr>
          <w:ilvl w:val="1"/>
          <w:numId w:val="6"/>
        </w:numPr>
        <w:tabs>
          <w:tab w:val="clear" w:pos="1296"/>
          <w:tab w:val="left" w:pos="851" w:leader="none"/>
          <w:tab w:val="left" w:pos="1418" w:leader="none"/>
          <w:tab w:val="left" w:pos="1701" w:leader="none"/>
        </w:tabs>
        <w:spacing w:lineRule="auto" w:line="276"/>
        <w:ind w:firstLine="851" w:left="0"/>
        <w:jc w:val="both"/>
        <w:rPr>
          <w:rFonts w:eastAsia="Times New Roman" w:cs="Times New Roman"/>
        </w:rPr>
      </w:pPr>
      <w:r>
        <w:rPr>
          <w:rFonts w:eastAsia="Times New Roman" w:cs="Times New Roman"/>
        </w:rPr>
        <w:t>vaizdo medžiaga – išlaikyti dėmesį, paaiškinti sudėtingas temas vizualiai ir interaktyviai;</w:t>
      </w:r>
    </w:p>
    <w:p>
      <w:pPr>
        <w:pStyle w:val="ListParagraph"/>
        <w:widowControl w:val="false"/>
        <w:numPr>
          <w:ilvl w:val="1"/>
          <w:numId w:val="6"/>
        </w:numPr>
        <w:tabs>
          <w:tab w:val="clear" w:pos="1296"/>
          <w:tab w:val="left" w:pos="851" w:leader="none"/>
          <w:tab w:val="left" w:pos="1418" w:leader="none"/>
          <w:tab w:val="left" w:pos="1701" w:leader="none"/>
        </w:tabs>
        <w:spacing w:lineRule="auto" w:line="276"/>
        <w:ind w:firstLine="851" w:left="0"/>
        <w:jc w:val="both"/>
        <w:rPr>
          <w:rFonts w:eastAsia="Times New Roman" w:cs="Times New Roman"/>
        </w:rPr>
      </w:pPr>
      <w:r>
        <w:rPr>
          <w:rFonts w:eastAsia="Times New Roman" w:cs="Times New Roman"/>
        </w:rPr>
        <w:t xml:space="preserve">skaidrės – struktūruotas turinys, aiškūs pagrindiniai punktai, lengvai peržiūrima informacija; </w:t>
      </w:r>
    </w:p>
    <w:p>
      <w:pPr>
        <w:pStyle w:val="ListParagraph"/>
        <w:widowControl w:val="false"/>
        <w:numPr>
          <w:ilvl w:val="1"/>
          <w:numId w:val="6"/>
        </w:numPr>
        <w:tabs>
          <w:tab w:val="clear" w:pos="1296"/>
          <w:tab w:val="left" w:pos="851" w:leader="none"/>
          <w:tab w:val="left" w:pos="1418" w:leader="none"/>
          <w:tab w:val="left" w:pos="1701" w:leader="none"/>
        </w:tabs>
        <w:spacing w:lineRule="auto" w:line="276"/>
        <w:ind w:firstLine="851" w:left="0"/>
        <w:jc w:val="both"/>
        <w:rPr>
          <w:rFonts w:eastAsia="Times New Roman" w:cs="Times New Roman"/>
        </w:rPr>
      </w:pPr>
      <w:r>
        <w:rPr>
          <w:rFonts w:eastAsia="Times New Roman" w:cs="Times New Roman"/>
        </w:rPr>
        <w:t>tekstiniai failai – suteikti gilesnį supratimą ir papildomą informaciją, leidžia gilintis į specifines detales;</w:t>
      </w:r>
    </w:p>
    <w:p>
      <w:pPr>
        <w:pStyle w:val="ListParagraph"/>
        <w:widowControl w:val="false"/>
        <w:numPr>
          <w:ilvl w:val="1"/>
          <w:numId w:val="6"/>
        </w:numPr>
        <w:tabs>
          <w:tab w:val="clear" w:pos="1296"/>
          <w:tab w:val="left" w:pos="851" w:leader="none"/>
          <w:tab w:val="left" w:pos="1418" w:leader="none"/>
          <w:tab w:val="left" w:pos="1701" w:leader="none"/>
        </w:tabs>
        <w:spacing w:lineRule="auto" w:line="276"/>
        <w:ind w:firstLine="851" w:left="0"/>
        <w:jc w:val="both"/>
        <w:rPr>
          <w:rFonts w:eastAsia="Times New Roman" w:cs="Times New Roman"/>
        </w:rPr>
      </w:pPr>
      <w:r>
        <w:rPr>
          <w:rFonts w:eastAsia="Times New Roman" w:cs="Times New Roman"/>
          <w:szCs w:val="24"/>
        </w:rPr>
        <w:t>interaktyvus turinys – testai, atvejų analizės, užduotys, skatinantys aktyvų dalyvavimą, padedantys geriau įsisavinti informaciją ir įtvirtinti žinias.</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szCs w:val="24"/>
        </w:rPr>
      </w:pPr>
      <w:r>
        <w:rPr>
          <w:rFonts w:eastAsia="游ゴシック" w:eastAsiaTheme="minorEastAsia"/>
        </w:rPr>
        <w:t xml:space="preserve">Galimi e. mokymų turinio pateikimo formatai (suderinami su </w:t>
      </w:r>
      <w:r>
        <w:rPr>
          <w:rFonts w:eastAsia="Times New Roman" w:cs="Times New Roman"/>
        </w:rPr>
        <w:t>virtualia mokymosi aplinka Moodle arba lygiaverte šiai sistemai platforma, užtikrinančia panašias funkcionalumo ir naudojimo galimybes)</w:t>
      </w:r>
      <w:r>
        <w:rPr>
          <w:rFonts w:eastAsia="游ゴシック" w:eastAsiaTheme="minorEastAsia"/>
        </w:rPr>
        <w:t>:</w:t>
      </w:r>
    </w:p>
    <w:p>
      <w:pPr>
        <w:pStyle w:val="ListParagraph"/>
        <w:widowControl w:val="false"/>
        <w:numPr>
          <w:ilvl w:val="1"/>
          <w:numId w:val="6"/>
        </w:numPr>
        <w:tabs>
          <w:tab w:val="clear" w:pos="1296"/>
          <w:tab w:val="left" w:pos="1193" w:leader="none"/>
          <w:tab w:val="left" w:pos="1418" w:leader="none"/>
        </w:tabs>
        <w:spacing w:lineRule="auto" w:line="276"/>
        <w:ind w:firstLine="851" w:left="0"/>
        <w:jc w:val="both"/>
        <w:rPr>
          <w:rFonts w:cs="Times New Roman"/>
        </w:rPr>
      </w:pPr>
      <w:r>
        <w:rPr>
          <w:rFonts w:eastAsia="游ゴシック" w:eastAsiaTheme="minorEastAsia"/>
          <w:szCs w:val="24"/>
        </w:rPr>
        <w:t>PDF – mokymo medžiaga, infografikai ar vizualizuoti teoriniai aspektai, papildoma informacija;</w:t>
      </w:r>
    </w:p>
    <w:p>
      <w:pPr>
        <w:pStyle w:val="ListParagraph"/>
        <w:widowControl w:val="false"/>
        <w:numPr>
          <w:ilvl w:val="1"/>
          <w:numId w:val="6"/>
        </w:numPr>
        <w:tabs>
          <w:tab w:val="clear" w:pos="1296"/>
          <w:tab w:val="left" w:pos="1193" w:leader="none"/>
          <w:tab w:val="left" w:pos="1418" w:leader="none"/>
        </w:tabs>
        <w:spacing w:lineRule="auto" w:line="276"/>
        <w:ind w:firstLine="851" w:left="0"/>
        <w:jc w:val="both"/>
        <w:rPr>
          <w:rFonts w:cs="Times New Roman"/>
        </w:rPr>
      </w:pPr>
      <w:r>
        <w:rPr>
          <w:rFonts w:eastAsia="Times New Roman" w:cs="Times New Roman"/>
          <w:szCs w:val="24"/>
        </w:rPr>
        <w:t>MP4 – vaizdo paskaitos, animuoti vaizdo įrašai, demonstracijos, praktiniai pavyzdžiai;</w:t>
      </w:r>
    </w:p>
    <w:p>
      <w:pPr>
        <w:pStyle w:val="ListParagraph"/>
        <w:widowControl w:val="false"/>
        <w:numPr>
          <w:ilvl w:val="1"/>
          <w:numId w:val="6"/>
        </w:numPr>
        <w:tabs>
          <w:tab w:val="clear" w:pos="1296"/>
          <w:tab w:val="left" w:pos="1193" w:leader="none"/>
          <w:tab w:val="left" w:pos="1418" w:leader="none"/>
        </w:tabs>
        <w:spacing w:lineRule="auto" w:line="276"/>
        <w:ind w:firstLine="851" w:left="0"/>
        <w:jc w:val="both"/>
        <w:rPr/>
      </w:pPr>
      <w:r>
        <w:rPr>
          <w:rFonts w:eastAsia="Times New Roman" w:cs="Times New Roman"/>
          <w:szCs w:val="24"/>
        </w:rPr>
        <w:t>PPTX – skaidrių rinkinys interaktyviems pristatymams;</w:t>
      </w:r>
    </w:p>
    <w:p>
      <w:pPr>
        <w:pStyle w:val="ListParagraph"/>
        <w:widowControl w:val="false"/>
        <w:numPr>
          <w:ilvl w:val="1"/>
          <w:numId w:val="6"/>
        </w:numPr>
        <w:tabs>
          <w:tab w:val="clear" w:pos="1296"/>
          <w:tab w:val="left" w:pos="1193" w:leader="none"/>
          <w:tab w:val="left" w:pos="1418" w:leader="none"/>
        </w:tabs>
        <w:spacing w:lineRule="auto" w:line="276"/>
        <w:ind w:firstLine="851" w:left="0"/>
        <w:jc w:val="both"/>
        <w:rPr>
          <w:rFonts w:eastAsia="Times New Roman" w:cs="Times New Roman"/>
          <w:szCs w:val="24"/>
        </w:rPr>
      </w:pPr>
      <w:r>
        <w:rPr>
          <w:rFonts w:eastAsia="Times New Roman" w:cs="Times New Roman"/>
          <w:szCs w:val="24"/>
        </w:rPr>
        <w:t>JPEG, PNG, GIF, SVG – paveikslėliai, infografikai;</w:t>
      </w:r>
    </w:p>
    <w:p>
      <w:pPr>
        <w:pStyle w:val="ListParagraph"/>
        <w:widowControl w:val="false"/>
        <w:numPr>
          <w:ilvl w:val="1"/>
          <w:numId w:val="6"/>
        </w:numPr>
        <w:tabs>
          <w:tab w:val="clear" w:pos="1296"/>
          <w:tab w:val="left" w:pos="1418" w:leader="none"/>
          <w:tab w:val="left" w:pos="1560" w:leader="none"/>
        </w:tabs>
        <w:spacing w:lineRule="auto" w:line="276"/>
        <w:ind w:firstLine="851" w:left="0"/>
        <w:jc w:val="both"/>
        <w:rPr>
          <w:rFonts w:eastAsia="Times New Roman" w:cs="Times New Roman"/>
          <w:szCs w:val="24"/>
        </w:rPr>
      </w:pPr>
      <w:r>
        <w:rPr>
          <w:rFonts w:eastAsia="Times New Roman" w:cs="Times New Roman"/>
          <w:szCs w:val="24"/>
        </w:rPr>
        <w:t>H5P – interaktyvūs turinio elementai, papildantys mokymų turinį (užduotys, interaktyvūs vaizdo įrašai ir prezentacijos);</w:t>
      </w:r>
    </w:p>
    <w:p>
      <w:pPr>
        <w:pStyle w:val="ListParagraph"/>
        <w:widowControl w:val="false"/>
        <w:numPr>
          <w:ilvl w:val="1"/>
          <w:numId w:val="6"/>
        </w:numPr>
        <w:tabs>
          <w:tab w:val="clear" w:pos="1296"/>
          <w:tab w:val="left" w:pos="1418" w:leader="none"/>
          <w:tab w:val="left" w:pos="1701" w:leader="none"/>
        </w:tabs>
        <w:spacing w:lineRule="auto" w:line="276"/>
        <w:ind w:firstLine="851" w:left="0"/>
        <w:jc w:val="both"/>
        <w:rPr>
          <w:rFonts w:eastAsia="Times New Roman" w:cs="Times New Roman"/>
          <w:szCs w:val="24"/>
        </w:rPr>
      </w:pPr>
      <w:r>
        <w:rPr>
          <w:rFonts w:eastAsia="Times New Roman" w:cs="Times New Roman"/>
          <w:szCs w:val="24"/>
        </w:rPr>
        <w:t>SCORM – standartizuotas mokymo turinio formatas, leidžiantis integruoti mokymo medžiagą į mokymosi valdymo sistemas;</w:t>
      </w:r>
    </w:p>
    <w:p>
      <w:pPr>
        <w:pStyle w:val="ListParagraph"/>
        <w:widowControl w:val="false"/>
        <w:numPr>
          <w:ilvl w:val="1"/>
          <w:numId w:val="6"/>
        </w:numPr>
        <w:tabs>
          <w:tab w:val="clear" w:pos="1296"/>
          <w:tab w:val="left" w:pos="1418" w:leader="none"/>
          <w:tab w:val="left" w:pos="1560" w:leader="none"/>
        </w:tabs>
        <w:spacing w:lineRule="auto" w:line="276"/>
        <w:ind w:firstLine="851" w:left="0"/>
        <w:jc w:val="both"/>
        <w:rPr>
          <w:rFonts w:cs="Times New Roman"/>
        </w:rPr>
      </w:pPr>
      <w:r>
        <w:rPr>
          <w:rFonts w:eastAsia="Times New Roman" w:cs="Times New Roman"/>
          <w:szCs w:val="24"/>
        </w:rPr>
        <w:t xml:space="preserve">Kiti interaktyvūs e. mokymų kūrimo formatai, kurie suderinami su virtualia mokymosi aplinka Moodle </w:t>
      </w:r>
      <w:r>
        <w:rPr>
          <w:rFonts w:eastAsia="Times New Roman" w:cs="Times New Roman"/>
        </w:rPr>
        <w:t>arba lygiaverte šiai sistemai platforma, užtikrinančia panašias funkcionalumo ir naudojimo galimybes</w:t>
      </w:r>
      <w:r>
        <w:rPr>
          <w:rFonts w:eastAsia="Times New Roman" w:cs="Times New Roman"/>
          <w:szCs w:val="24"/>
        </w:rPr>
        <w:t>.</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Visose mokymų medžiagos temose / dalyse turi būti naudojamos tokios pačios technologijos, kurios tarpusavyje turi derėti technologiškai ir funkciškai.</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E. mokymų turinys turi būti estetiškas: derėti fonas, iliustracijos ir tekstas, harmoningai išdėstyti elementai, pasižymėti vientisa, stilinga grafika, šriftu, spalvomis, vaizdais ir kitais daugialypės terpės elementais.</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 xml:space="preserve">E. mokymai turi būti tinkamai atvaizduojami </w:t>
      </w:r>
      <w:r>
        <w:rPr>
          <w:rFonts w:cs="Times New Roman"/>
          <w:szCs w:val="24"/>
        </w:rPr>
        <w:t>n</w:t>
      </w:r>
      <w:r>
        <w:rPr>
          <w:rFonts w:eastAsia="Times New Roman" w:cs="Times New Roman"/>
          <w:szCs w:val="24"/>
        </w:rPr>
        <w:t>epriklausomai nuo įrenginio (kompiuterio, mobilaus įrenginio, planšetinio kompiuterio)</w:t>
      </w:r>
      <w:r>
        <w:rPr>
          <w:rFonts w:cs="Times New Roman"/>
          <w:szCs w:val="24"/>
        </w:rPr>
        <w:t xml:space="preserve">. </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Tiekėjas kurdamas mokymų turinį, dizainą, mokymų funkcionalumą privalo juos suderinti su Perkančiąja organizacija.</w:t>
      </w:r>
    </w:p>
    <w:p>
      <w:pPr>
        <w:pStyle w:val="Normal"/>
        <w:widowControl w:val="false"/>
        <w:tabs>
          <w:tab w:val="clear" w:pos="1296"/>
          <w:tab w:val="left" w:pos="851" w:leader="none"/>
          <w:tab w:val="left" w:pos="993" w:leader="none"/>
          <w:tab w:val="left" w:pos="1193" w:leader="none"/>
        </w:tabs>
        <w:spacing w:lineRule="auto" w:line="276"/>
        <w:ind w:firstLine="851"/>
        <w:jc w:val="both"/>
        <w:rPr>
          <w:rFonts w:cs="Times New Roman"/>
          <w:szCs w:val="24"/>
        </w:rPr>
      </w:pPr>
      <w:r>
        <w:rPr>
          <w:rFonts w:cs="Times New Roman"/>
          <w:szCs w:val="24"/>
        </w:rPr>
      </w:r>
    </w:p>
    <w:p>
      <w:pPr>
        <w:pStyle w:val="Prastasis1"/>
        <w:spacing w:before="0" w:after="0"/>
        <w:jc w:val="center"/>
        <w:rPr>
          <w:rFonts w:eastAsia="Times New Roman" w:cs="Times New Roman"/>
          <w:b/>
          <w:bCs/>
          <w:lang w:val="lt-LT"/>
        </w:rPr>
      </w:pPr>
      <w:r>
        <w:rPr>
          <w:rFonts w:eastAsia="Times New Roman" w:cs="Times New Roman"/>
          <w:b/>
          <w:bCs/>
          <w:lang w:val="lt-LT"/>
        </w:rPr>
        <w:t>IV SKYRIUS</w:t>
      </w:r>
    </w:p>
    <w:p>
      <w:pPr>
        <w:pStyle w:val="ListParagraph"/>
        <w:widowControl w:val="false"/>
        <w:tabs>
          <w:tab w:val="clear" w:pos="1296"/>
          <w:tab w:val="left" w:pos="851" w:leader="none"/>
          <w:tab w:val="left" w:pos="993" w:leader="none"/>
          <w:tab w:val="left" w:pos="1193" w:leader="none"/>
        </w:tabs>
        <w:spacing w:lineRule="auto" w:line="276"/>
        <w:ind w:left="0"/>
        <w:jc w:val="center"/>
        <w:rPr>
          <w:rFonts w:eastAsia="Times New Roman" w:cs="Times New Roman"/>
          <w:b/>
          <w:bCs/>
        </w:rPr>
      </w:pPr>
      <w:r>
        <w:rPr>
          <w:rFonts w:cs="Times New Roman"/>
          <w:b/>
          <w:bCs/>
        </w:rPr>
        <w:t>MOKYMŲ MEDŽIAGOS IR E. MOKYMŲ RENGIMO TVARKA</w:t>
      </w:r>
    </w:p>
    <w:p>
      <w:pPr>
        <w:pStyle w:val="ListParagraph"/>
        <w:widowControl w:val="false"/>
        <w:tabs>
          <w:tab w:val="clear" w:pos="1296"/>
          <w:tab w:val="left" w:pos="851" w:leader="none"/>
          <w:tab w:val="left" w:pos="993" w:leader="none"/>
          <w:tab w:val="left" w:pos="1193" w:leader="none"/>
        </w:tabs>
        <w:spacing w:lineRule="auto" w:line="276"/>
        <w:ind w:left="491"/>
        <w:jc w:val="both"/>
        <w:rPr>
          <w:rFonts w:cs="Times New Roman"/>
        </w:rPr>
      </w:pPr>
      <w:r>
        <w:rPr>
          <w:rFonts w:cs="Times New Roman"/>
        </w:rPr>
      </w:r>
    </w:p>
    <w:p>
      <w:pPr>
        <w:pStyle w:val="ListParagraph"/>
        <w:numPr>
          <w:ilvl w:val="0"/>
          <w:numId w:val="6"/>
        </w:numPr>
        <w:tabs>
          <w:tab w:val="clear" w:pos="1296"/>
          <w:tab w:val="left" w:pos="851" w:leader="none"/>
        </w:tabs>
        <w:spacing w:lineRule="auto" w:line="276"/>
        <w:ind w:firstLine="851" w:left="0"/>
        <w:jc w:val="both"/>
        <w:rPr>
          <w:rFonts w:cs="Times New Roman"/>
        </w:rPr>
      </w:pPr>
      <w:r>
        <w:rPr>
          <w:rFonts w:cs="Times New Roman"/>
        </w:rPr>
        <w:t>Pasirašius paslaugų teikimo sutartį Tiekėjas ne vėliau kaip per 10 darbo dienų turi pateikti Perkančiajai organizacijai derinti paslaugų vykdymo planą, kuriame turi būti nurodytas planuojamas galutinis paslaugų suteikimo terminas, atskiri Paslaugų teikimo etapai, jų apimtys bei kita Tiekėjui ir Perkančiajai organizacijai svarbi informacija.</w:t>
      </w:r>
    </w:p>
    <w:p>
      <w:pPr>
        <w:pStyle w:val="ListParagraph"/>
        <w:numPr>
          <w:ilvl w:val="0"/>
          <w:numId w:val="6"/>
        </w:numPr>
        <w:tabs>
          <w:tab w:val="clear" w:pos="1296"/>
          <w:tab w:val="left" w:pos="1134" w:leader="none"/>
        </w:tabs>
        <w:spacing w:lineRule="auto" w:line="276"/>
        <w:ind w:firstLine="851" w:left="0"/>
        <w:jc w:val="both"/>
        <w:rPr>
          <w:rFonts w:cs="Times New Roman"/>
        </w:rPr>
      </w:pPr>
      <w:r>
        <w:rPr>
          <w:rFonts w:cs="Times New Roman"/>
        </w:rPr>
        <w:t>Paslaugų vykdymo planą turi sudaryti šie mokymų kūrimo etapai:</w:t>
      </w:r>
    </w:p>
    <w:p>
      <w:pPr>
        <w:pStyle w:val="ListParagraph"/>
        <w:widowControl w:val="false"/>
        <w:numPr>
          <w:ilvl w:val="1"/>
          <w:numId w:val="6"/>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paslaugų vykdymo koncepcijos parengimas (detalus Perkančiosios organizacijos poreikio išsiaiškinimas, išgryninant mokymo tikslą, siektinus rezultatus, tikslinę auditoriją, mokymų temas);</w:t>
      </w:r>
    </w:p>
    <w:p>
      <w:pPr>
        <w:pStyle w:val="ListParagraph"/>
        <w:widowControl w:val="false"/>
        <w:numPr>
          <w:ilvl w:val="1"/>
          <w:numId w:val="6"/>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mokymų programos parengimas;</w:t>
      </w:r>
    </w:p>
    <w:p>
      <w:pPr>
        <w:pStyle w:val="ListParagraph"/>
        <w:widowControl w:val="false"/>
        <w:numPr>
          <w:ilvl w:val="1"/>
          <w:numId w:val="6"/>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mokymų medžiagos scenarijaus sukūrimas pagal patvirtintą mokymų programą (turinio struktūros parengimas, mokymų medžiagos pateikimo būdų (taip pat suderinant kokia forma (tekstinė, vaizdo ar kt.) medžiaga bus pateikiama) bei testų ir / ar užduočių ir baigiamojo vertinimo priemonių nustatymas);</w:t>
      </w:r>
    </w:p>
    <w:p>
      <w:pPr>
        <w:pStyle w:val="ListParagraph"/>
        <w:widowControl w:val="false"/>
        <w:numPr>
          <w:ilvl w:val="1"/>
          <w:numId w:val="6"/>
        </w:numPr>
        <w:tabs>
          <w:tab w:val="clear" w:pos="1296"/>
          <w:tab w:val="left" w:pos="567" w:leader="none"/>
          <w:tab w:val="left" w:pos="1134" w:leader="none"/>
          <w:tab w:val="left" w:pos="1418" w:leader="none"/>
        </w:tabs>
        <w:spacing w:lineRule="auto" w:line="276"/>
        <w:ind w:firstLine="851" w:left="0"/>
        <w:jc w:val="both"/>
        <w:rPr>
          <w:rFonts w:cs="Times New Roman"/>
        </w:rPr>
      </w:pPr>
      <w:r>
        <w:rPr>
          <w:rFonts w:cs="Times New Roman"/>
        </w:rPr>
        <w:t>E. mokymų grafinio dizaino parengimas;</w:t>
      </w:r>
    </w:p>
    <w:p>
      <w:pPr>
        <w:pStyle w:val="ListParagraph"/>
        <w:widowControl w:val="false"/>
        <w:numPr>
          <w:ilvl w:val="1"/>
          <w:numId w:val="6"/>
        </w:numPr>
        <w:tabs>
          <w:tab w:val="clear" w:pos="1296"/>
          <w:tab w:val="left" w:pos="567" w:leader="none"/>
          <w:tab w:val="left" w:pos="1418" w:leader="none"/>
          <w:tab w:val="left" w:pos="1560" w:leader="none"/>
        </w:tabs>
        <w:spacing w:lineRule="auto" w:line="276"/>
        <w:ind w:firstLine="851" w:left="0"/>
        <w:jc w:val="both"/>
        <w:rPr>
          <w:rFonts w:cs="Times New Roman"/>
        </w:rPr>
      </w:pPr>
      <w:r>
        <w:rPr>
          <w:rFonts w:cs="Times New Roman"/>
        </w:rPr>
        <w:t>E. mokymų techninis išpildymas;</w:t>
      </w:r>
    </w:p>
    <w:p>
      <w:pPr>
        <w:pStyle w:val="ListParagraph"/>
        <w:widowControl w:val="false"/>
        <w:numPr>
          <w:ilvl w:val="1"/>
          <w:numId w:val="6"/>
        </w:numPr>
        <w:tabs>
          <w:tab w:val="clear" w:pos="1296"/>
          <w:tab w:val="left" w:pos="567" w:leader="none"/>
          <w:tab w:val="left" w:pos="1418" w:leader="none"/>
          <w:tab w:val="left" w:pos="1560" w:leader="none"/>
        </w:tabs>
        <w:spacing w:lineRule="auto" w:line="276"/>
        <w:ind w:firstLine="851" w:left="0"/>
        <w:jc w:val="both"/>
        <w:rPr>
          <w:rFonts w:cs="Times New Roman"/>
        </w:rPr>
      </w:pPr>
      <w:r>
        <w:rPr>
          <w:rFonts w:cs="Times New Roman"/>
        </w:rPr>
        <w:t>E. mokymų testavimas ir klaidų šalinimas;</w:t>
      </w:r>
    </w:p>
    <w:p>
      <w:pPr>
        <w:pStyle w:val="ListParagraph"/>
        <w:widowControl w:val="false"/>
        <w:numPr>
          <w:ilvl w:val="1"/>
          <w:numId w:val="6"/>
        </w:numPr>
        <w:tabs>
          <w:tab w:val="clear" w:pos="1296"/>
          <w:tab w:val="left" w:pos="567" w:leader="none"/>
          <w:tab w:val="left" w:pos="1418" w:leader="none"/>
          <w:tab w:val="left" w:pos="1560" w:leader="none"/>
        </w:tabs>
        <w:spacing w:lineRule="auto" w:line="276"/>
        <w:ind w:firstLine="851" w:left="0"/>
        <w:jc w:val="both"/>
        <w:rPr>
          <w:rFonts w:cs="Times New Roman"/>
        </w:rPr>
      </w:pPr>
      <w:r>
        <w:rPr>
          <w:rFonts w:cs="Times New Roman"/>
        </w:rPr>
        <w:t>E. mokymų perdavimas Perkančiajai organizacijai.</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color w:themeColor="text1" w:val="000000"/>
        </w:rPr>
      </w:pPr>
      <w:r>
        <w:rPr>
          <w:rFonts w:cs="Times New Roman"/>
          <w:color w:themeColor="text1" w:val="000000"/>
        </w:rPr>
        <w:t xml:space="preserve">Tiekėjas pradeda teikti </w:t>
      </w:r>
      <w:r>
        <w:rPr>
          <w:rFonts w:cs="Times New Roman"/>
        </w:rPr>
        <w:t>paslaugą gavęs Perkančiosios organizacijos pritarimą raštu</w:t>
      </w:r>
      <w:r>
        <w:rPr>
          <w:rFonts w:cs="Times New Roman"/>
          <w:color w:themeColor="text1" w:val="000000"/>
        </w:rPr>
        <w:t>.</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color w:themeColor="text1" w:val="000000"/>
        </w:rPr>
      </w:pPr>
      <w:r>
        <w:rPr>
          <w:rFonts w:cs="Times New Roman"/>
          <w:color w:themeColor="text1" w:val="000000"/>
        </w:rPr>
        <w:t>Tiekėjas atsakingas už visą nuotolinių mokymų parengimo paslaugos proceso valdymą, darbų organizavimą ir atlikimą.</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szCs w:val="24"/>
        </w:rPr>
      </w:pPr>
      <w:r>
        <w:rPr>
          <w:rFonts w:cs="Times New Roman"/>
        </w:rPr>
        <w:t xml:space="preserve">Teikėjas korekcijas pagal Perkančiosios organizacijos pateiktas pastabas </w:t>
      </w:r>
      <w:r>
        <w:rPr>
          <w:rFonts w:cs="Times New Roman"/>
          <w:color w:themeColor="text1" w:val="000000"/>
        </w:rPr>
        <w:t>viso nuotolinių mokymų parengimo paslaugos proceso metu</w:t>
      </w:r>
      <w:r>
        <w:rPr>
          <w:rFonts w:cs="Times New Roman"/>
        </w:rPr>
        <w:t xml:space="preserve"> turi atlikti ne vėliau kaip per 5 darbo dienas nuo pastabų pateikimo.</w:t>
      </w:r>
    </w:p>
    <w:p>
      <w:pPr>
        <w:pStyle w:val="ListParagraph"/>
        <w:widowControl w:val="false"/>
        <w:numPr>
          <w:ilvl w:val="0"/>
          <w:numId w:val="6"/>
        </w:numPr>
        <w:tabs>
          <w:tab w:val="clear" w:pos="1296"/>
          <w:tab w:val="left" w:pos="851" w:leader="none"/>
          <w:tab w:val="left" w:pos="993" w:leader="none"/>
          <w:tab w:val="left" w:pos="1193" w:leader="none"/>
        </w:tabs>
        <w:spacing w:lineRule="auto" w:line="276"/>
        <w:ind w:firstLine="851" w:left="0"/>
        <w:jc w:val="both"/>
        <w:rPr>
          <w:rFonts w:cs="Times New Roman"/>
        </w:rPr>
      </w:pPr>
      <w:r>
        <w:rPr>
          <w:rFonts w:cs="Times New Roman"/>
        </w:rPr>
        <w:t xml:space="preserve"> </w:t>
      </w:r>
      <w:r>
        <w:rPr>
          <w:rFonts w:cs="Times New Roman"/>
        </w:rPr>
        <w:t xml:space="preserve">Sukurtiems e. mokymams turi būti suteikiama garantija </w:t>
      </w:r>
      <w:r>
        <w:rPr>
          <w:rFonts w:cs="Times New Roman"/>
          <w:color w:themeColor="text1" w:val="000000"/>
        </w:rPr>
        <w:t>techniniams nesklandumams ir trūkumams šalinti – neribotai per 12 mėnesių nuo</w:t>
      </w:r>
      <w:r>
        <w:rPr>
          <w:rFonts w:cs="Times New Roman"/>
          <w:color w:val="FF0000"/>
        </w:rPr>
        <w:t xml:space="preserve"> </w:t>
      </w:r>
      <w:r>
        <w:rPr>
          <w:rFonts w:eastAsia="Times New Roman" w:cs="Times New Roman"/>
        </w:rPr>
        <w:t xml:space="preserve">Paslaugų priėmimo–perdavimo akto </w:t>
      </w:r>
      <w:r>
        <w:rPr>
          <w:rFonts w:cs="Times New Roman"/>
        </w:rPr>
        <w:t xml:space="preserve">pasirašymo dienos, </w:t>
      </w:r>
      <w:r>
        <w:rPr>
          <w:rFonts w:cs="Times New Roman"/>
          <w:color w:themeColor="text1" w:val="000000"/>
        </w:rPr>
        <w:t xml:space="preserve">jei tai </w:t>
      </w:r>
      <w:r>
        <w:rPr>
          <w:rFonts w:cs="Times New Roman"/>
        </w:rPr>
        <w:t>susiję su Tiekėjo technine klaida arba neatitinka techninės specifikacijos, kitų reikalavimų, kurie buvo pateikti ir suderinti e. mokymų kūrimo metu.</w:t>
      </w:r>
      <w:bookmarkEnd w:id="9"/>
    </w:p>
    <w:p>
      <w:pPr>
        <w:pStyle w:val="Prastasis1"/>
        <w:spacing w:before="0" w:after="0"/>
        <w:jc w:val="center"/>
        <w:rPr>
          <w:rFonts w:eastAsia="Times New Roman" w:cs="Times New Roman"/>
          <w:b/>
          <w:bCs/>
          <w:lang w:val="lt-LT"/>
        </w:rPr>
      </w:pPr>
      <w:r>
        <w:rPr>
          <w:rFonts w:eastAsia="Times New Roman" w:cs="Times New Roman"/>
          <w:b/>
          <w:bCs/>
          <w:lang w:val="lt-LT"/>
        </w:rPr>
      </w:r>
    </w:p>
    <w:p>
      <w:pPr>
        <w:pStyle w:val="Prastasis1"/>
        <w:spacing w:before="0" w:after="0"/>
        <w:jc w:val="center"/>
        <w:rPr>
          <w:rFonts w:eastAsia="Times New Roman" w:cs="Times New Roman"/>
          <w:b/>
          <w:bCs/>
          <w:lang w:val="lt-LT"/>
        </w:rPr>
      </w:pPr>
      <w:r>
        <w:rPr>
          <w:rFonts w:eastAsia="Times New Roman" w:cs="Times New Roman"/>
          <w:b/>
          <w:bCs/>
          <w:lang w:val="lt-LT"/>
        </w:rPr>
        <w:t>V SKYRIUS</w:t>
      </w:r>
    </w:p>
    <w:p>
      <w:pPr>
        <w:pStyle w:val="Prastasis1"/>
        <w:tabs>
          <w:tab w:val="clear" w:pos="1296"/>
          <w:tab w:val="left" w:pos="851" w:leader="none"/>
          <w:tab w:val="left" w:pos="993" w:leader="none"/>
          <w:tab w:val="left" w:pos="1276" w:leader="none"/>
        </w:tabs>
        <w:spacing w:before="0" w:after="0"/>
        <w:jc w:val="center"/>
        <w:rPr>
          <w:rFonts w:eastAsia="Times New Roman" w:cs="Times New Roman"/>
          <w:b/>
          <w:bCs/>
          <w:color w:themeColor="text1" w:val="000000"/>
          <w:lang w:val="lt-LT"/>
        </w:rPr>
      </w:pPr>
      <w:r>
        <w:rPr>
          <w:rFonts w:eastAsia="Times New Roman" w:cs="Times New Roman"/>
          <w:b/>
          <w:bCs/>
          <w:color w:themeColor="text1" w:val="000000"/>
          <w:lang w:val="lt-LT"/>
        </w:rPr>
        <w:t>BENDRI REIKALAVIMAI PIRKIMUI</w:t>
      </w:r>
    </w:p>
    <w:p>
      <w:pPr>
        <w:pStyle w:val="Prastasis1"/>
        <w:tabs>
          <w:tab w:val="clear" w:pos="1296"/>
          <w:tab w:val="left" w:pos="851" w:leader="none"/>
          <w:tab w:val="left" w:pos="993" w:leader="none"/>
          <w:tab w:val="left" w:pos="1276" w:leader="none"/>
        </w:tabs>
        <w:spacing w:before="0" w:after="0"/>
        <w:jc w:val="center"/>
        <w:rPr>
          <w:rFonts w:eastAsia="Times New Roman" w:cs="Times New Roman"/>
          <w:b/>
          <w:bCs/>
          <w:color w:themeColor="text1" w:val="000000"/>
          <w:lang w:val="lt-LT"/>
        </w:rPr>
      </w:pPr>
      <w:r>
        <w:rPr>
          <w:rFonts w:eastAsia="Times New Roman" w:cs="Times New Roman"/>
          <w:b/>
          <w:bCs/>
          <w:color w:themeColor="text1" w:val="000000"/>
          <w:lang w:val="lt-LT"/>
        </w:rPr>
      </w:r>
    </w:p>
    <w:p>
      <w:pPr>
        <w:pStyle w:val="Standard"/>
        <w:widowControl w:val="false"/>
        <w:numPr>
          <w:ilvl w:val="0"/>
          <w:numId w:val="6"/>
        </w:numPr>
        <w:tabs>
          <w:tab w:val="clear" w:pos="1296"/>
          <w:tab w:val="left" w:pos="270" w:leader="none"/>
          <w:tab w:val="left" w:pos="540" w:leader="none"/>
          <w:tab w:val="left" w:pos="851" w:leader="none"/>
          <w:tab w:val="left" w:pos="993" w:leader="none"/>
        </w:tabs>
        <w:spacing w:lineRule="auto" w:line="276"/>
        <w:ind w:firstLine="851" w:left="0"/>
        <w:jc w:val="both"/>
        <w:rPr>
          <w:color w:themeColor="text1" w:val="000000"/>
        </w:rPr>
      </w:pPr>
      <w:r>
        <w:rPr>
          <w:color w:themeColor="text1" w:val="000000"/>
        </w:rPr>
        <w:t>Tiekėjas turi paskirti atsakingą asmenį, į kurį Perkančioji organizacija galėtų kreiptis dėl teikiamos Paslaugos.</w:t>
      </w:r>
      <w:r>
        <w:rPr/>
        <w:t xml:space="preserve"> </w:t>
      </w:r>
    </w:p>
    <w:p>
      <w:pPr>
        <w:pStyle w:val="Prastasis1"/>
        <w:widowControl/>
        <w:numPr>
          <w:ilvl w:val="0"/>
          <w:numId w:val="6"/>
        </w:numPr>
        <w:tabs>
          <w:tab w:val="clear" w:pos="1296"/>
          <w:tab w:val="left" w:pos="851" w:leader="none"/>
          <w:tab w:val="left" w:pos="993" w:leader="none"/>
          <w:tab w:val="left" w:pos="1134" w:leader="none"/>
        </w:tabs>
        <w:suppressAutoHyphens w:val="false"/>
        <w:spacing w:before="0" w:after="0"/>
        <w:ind w:firstLine="851" w:left="0"/>
        <w:contextualSpacing/>
        <w:jc w:val="both"/>
        <w:rPr>
          <w:rFonts w:eastAsia="Times New Roman" w:cs="Times New Roman"/>
          <w:color w:val="auto"/>
          <w:lang w:val="lt-LT"/>
        </w:rPr>
      </w:pPr>
      <w:r>
        <w:rPr>
          <w:rFonts w:eastAsia="Times New Roman" w:cs="Times New Roman"/>
          <w:color w:val="auto"/>
          <w:lang w:val="lt-LT"/>
        </w:rPr>
        <w:t xml:space="preserve">Jeigu tiekėjas, teikdamas Paslaugą, pasinaudoja trečiųjų asmenų intelektine nuosavybe, įskaitant, bet </w:t>
      </w:r>
      <w:r>
        <w:rPr>
          <w:rFonts w:eastAsia="Times New Roman" w:cs="Times New Roman"/>
          <w:lang w:val="lt-LT"/>
        </w:rPr>
        <w:t>tuo neapsiribojant, autorių teises, licencijas, patentus, brėžinius, modelius, prekių ženklus, kuri integruojama ar kitaip susiejama su Paslaugų rezultatu, tai teikėjas užtikrina ir garantuoja savo sąskaita, kad nebus pažeistos šių trečiųjų asmenų teisės.</w:t>
      </w:r>
    </w:p>
    <w:p>
      <w:pPr>
        <w:pStyle w:val="Prastasis1"/>
        <w:widowControl/>
        <w:numPr>
          <w:ilvl w:val="0"/>
          <w:numId w:val="6"/>
        </w:numPr>
        <w:tabs>
          <w:tab w:val="clear" w:pos="1296"/>
          <w:tab w:val="left" w:pos="851" w:leader="none"/>
          <w:tab w:val="left" w:pos="993" w:leader="none"/>
          <w:tab w:val="left" w:pos="1134" w:leader="none"/>
        </w:tabs>
        <w:suppressAutoHyphens w:val="false"/>
        <w:spacing w:before="0" w:after="0"/>
        <w:ind w:firstLine="851" w:left="0"/>
        <w:contextualSpacing/>
        <w:jc w:val="both"/>
        <w:rPr>
          <w:rFonts w:eastAsia="Times New Roman" w:cs="Times New Roman"/>
          <w:lang w:val="lt-LT"/>
        </w:rPr>
      </w:pPr>
      <w:r>
        <w:rPr>
          <w:rFonts w:eastAsia="Times New Roman" w:cs="Times New Roman"/>
          <w:lang w:val="lt-LT"/>
        </w:rPr>
        <w:t>Tiekėjas užtikrina ir atsako, kad jo suteiktos Paslaugos ir jų rezultatas nepažeis trečiųjų asmenų intelektinės nuosavybės teisių ir, kad Perkančioji organizacija nepatirs jokių teisinių išlaidų ar nuostolių dėl reikalavimų arba įsipareigojimų, susijusių su intelektinės nuosavybės teisėmis į Sutarties dalyką.</w:t>
      </w:r>
    </w:p>
    <w:p>
      <w:pPr>
        <w:pStyle w:val="Prastasis1"/>
        <w:widowControl/>
        <w:numPr>
          <w:ilvl w:val="0"/>
          <w:numId w:val="6"/>
        </w:numPr>
        <w:tabs>
          <w:tab w:val="clear" w:pos="1296"/>
          <w:tab w:val="left" w:pos="851" w:leader="none"/>
          <w:tab w:val="left" w:pos="993" w:leader="none"/>
          <w:tab w:val="left" w:pos="1134" w:leader="none"/>
        </w:tabs>
        <w:suppressAutoHyphens w:val="false"/>
        <w:spacing w:before="0" w:after="0"/>
        <w:ind w:firstLine="851" w:left="0"/>
        <w:contextualSpacing/>
        <w:jc w:val="both"/>
        <w:rPr>
          <w:rFonts w:eastAsia="Times New Roman" w:cs="Times New Roman"/>
          <w:lang w:val="lt-LT"/>
        </w:rPr>
      </w:pPr>
      <w:r>
        <w:rPr>
          <w:rFonts w:eastAsia="Times New Roman" w:cs="Times New Roman"/>
          <w:lang w:val="lt-LT"/>
        </w:rPr>
        <w:t>Paslauga bus laikoma suteikta tinkamai Perkančiajai organizacijai pasirašius Paslaugų priėmimo–perdavimo aktą.</w:t>
      </w:r>
    </w:p>
    <w:p>
      <w:pPr>
        <w:pStyle w:val="Standard"/>
        <w:widowControl w:val="false"/>
        <w:numPr>
          <w:ilvl w:val="0"/>
          <w:numId w:val="6"/>
        </w:numPr>
        <w:tabs>
          <w:tab w:val="clear" w:pos="1296"/>
          <w:tab w:val="left" w:pos="540" w:leader="none"/>
          <w:tab w:val="left" w:pos="851" w:leader="none"/>
          <w:tab w:val="left" w:pos="993" w:leader="none"/>
        </w:tabs>
        <w:spacing w:lineRule="auto" w:line="276"/>
        <w:ind w:firstLine="851" w:left="0"/>
        <w:jc w:val="both"/>
        <w:rPr>
          <w:color w:themeColor="text1" w:val="000000"/>
        </w:rPr>
      </w:pPr>
      <w:r>
        <w:rPr/>
        <w:t xml:space="preserve">Nuo Perkančiosios organizacijos galutinio atsiskaitymo su Tiekėju dienos sukurtos Paslaugos intelektinė nuosavybė perduodama Perkančiajai organizacijai neterminuotai ir su galimybe jomis naudotis be apribojimų. Perkančiajai organizacijai suteikiama teisė naudotis minėtais rezultatais bet kokia forma, daryti kopijas, platinti, daryti pakeitimus ar kitaip disponuoti. Tiekėjas patvirtina, kad perduotos autorių turtinės teisės į jo sukurtus paslaugų rezultatus yra įskaičiuotos į pateikto pasiūlymo kainą už suteiktas paslaugas. </w:t>
      </w:r>
    </w:p>
    <w:p>
      <w:pPr>
        <w:pStyle w:val="ListParagraph"/>
        <w:numPr>
          <w:ilvl w:val="0"/>
          <w:numId w:val="6"/>
        </w:numPr>
        <w:tabs>
          <w:tab w:val="clear" w:pos="1296"/>
          <w:tab w:val="left" w:pos="0" w:leader="none"/>
          <w:tab w:val="left" w:pos="180" w:leader="none"/>
          <w:tab w:val="left" w:pos="426" w:leader="none"/>
          <w:tab w:val="left" w:pos="567" w:leader="none"/>
          <w:tab w:val="left" w:pos="993" w:leader="none"/>
          <w:tab w:val="left" w:pos="1134" w:leader="none"/>
          <w:tab w:val="left" w:pos="1418" w:leader="none"/>
          <w:tab w:val="left" w:pos="2410" w:leader="none"/>
          <w:tab w:val="left" w:pos="3402" w:leader="none"/>
          <w:tab w:val="left" w:pos="3969" w:leader="none"/>
          <w:tab w:val="center" w:pos="4819" w:leader="none"/>
          <w:tab w:val="right" w:pos="9638" w:leader="none"/>
        </w:tabs>
        <w:suppressAutoHyphens w:val="true"/>
        <w:spacing w:lineRule="auto" w:line="276"/>
        <w:ind w:firstLine="851" w:left="0"/>
        <w:jc w:val="both"/>
        <w:textAlignment w:val="baseline"/>
        <w:rPr>
          <w:rFonts w:cs="Times New Roman"/>
        </w:rPr>
      </w:pPr>
      <w:r>
        <w:rPr>
          <w:rFonts w:cs="Times New Roman"/>
        </w:rPr>
        <w:t xml:space="preserve">Minimalūs aplinkos apsaugos kriterijai, kurie taikomi paslaugoms - vadovaujantis Aplinkos apsaugos kriterijų taikymo, vykdant žaliuosius pirkimus, tvarkos </w:t>
      </w:r>
      <w:r>
        <w:rPr>
          <w:rFonts w:cs="Times New Roman"/>
          <w:color w:val="000000"/>
        </w:rPr>
        <w:t>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p>
      <w:pPr>
        <w:pStyle w:val="Normal"/>
        <w:tabs>
          <w:tab w:val="clear" w:pos="1296"/>
          <w:tab w:val="left" w:pos="0" w:leader="none"/>
          <w:tab w:val="left" w:pos="180" w:leader="none"/>
          <w:tab w:val="left" w:pos="426" w:leader="none"/>
          <w:tab w:val="left" w:pos="567" w:leader="none"/>
          <w:tab w:val="left" w:pos="993" w:leader="none"/>
          <w:tab w:val="left" w:pos="1134" w:leader="none"/>
          <w:tab w:val="left" w:pos="1418" w:leader="none"/>
          <w:tab w:val="left" w:pos="2410" w:leader="none"/>
          <w:tab w:val="left" w:pos="3402" w:leader="none"/>
          <w:tab w:val="left" w:pos="3969" w:leader="none"/>
          <w:tab w:val="center" w:pos="4819" w:leader="none"/>
          <w:tab w:val="right" w:pos="9638" w:leader="none"/>
        </w:tabs>
        <w:suppressAutoHyphens w:val="true"/>
        <w:spacing w:lineRule="auto" w:line="276"/>
        <w:ind w:firstLine="851"/>
        <w:jc w:val="both"/>
        <w:textAlignment w:val="baseline"/>
        <w:rPr>
          <w:rFonts w:cs="Times New Roman"/>
          <w:szCs w:val="24"/>
        </w:rPr>
      </w:pPr>
      <w:r>
        <w:rPr>
          <w:rFonts w:cs="Times New Roman"/>
          <w:szCs w:val="24"/>
        </w:rPr>
      </w:r>
    </w:p>
    <w:p>
      <w:pPr>
        <w:pStyle w:val="Normal"/>
        <w:spacing w:lineRule="auto" w:line="276"/>
        <w:jc w:val="center"/>
        <w:rPr>
          <w:rFonts w:cs="Times New Roman"/>
          <w:b/>
          <w:bCs/>
          <w:szCs w:val="24"/>
        </w:rPr>
      </w:pPr>
      <w:r>
        <w:rPr>
          <w:rFonts w:cs="Times New Roman"/>
          <w:b/>
          <w:bCs/>
          <w:szCs w:val="24"/>
        </w:rPr>
        <w:t>VII SKYRIUS</w:t>
      </w:r>
    </w:p>
    <w:p>
      <w:pPr>
        <w:pStyle w:val="Normal"/>
        <w:spacing w:lineRule="auto" w:line="276"/>
        <w:jc w:val="center"/>
        <w:rPr>
          <w:rFonts w:cs="Times New Roman"/>
          <w:b/>
          <w:bCs/>
          <w:szCs w:val="24"/>
        </w:rPr>
      </w:pPr>
      <w:r>
        <w:rPr>
          <w:rFonts w:cs="Times New Roman"/>
          <w:b/>
          <w:bCs/>
          <w:szCs w:val="24"/>
        </w:rPr>
        <w:t>ASMENS DUOMENŲ TVARKYMAS</w:t>
      </w:r>
    </w:p>
    <w:p>
      <w:pPr>
        <w:pStyle w:val="Normal"/>
        <w:spacing w:lineRule="auto" w:line="276"/>
        <w:ind w:firstLine="851"/>
        <w:jc w:val="center"/>
        <w:rPr>
          <w:rFonts w:cs="Times New Roman"/>
          <w:b/>
          <w:bCs/>
          <w:sz w:val="20"/>
          <w:szCs w:val="20"/>
        </w:rPr>
      </w:pPr>
      <w:r>
        <w:rPr>
          <w:rFonts w:cs="Times New Roman"/>
          <w:b/>
          <w:bCs/>
          <w:sz w:val="20"/>
          <w:szCs w:val="20"/>
        </w:rPr>
      </w:r>
    </w:p>
    <w:p>
      <w:pPr>
        <w:pStyle w:val="ListParagraph"/>
        <w:numPr>
          <w:ilvl w:val="0"/>
          <w:numId w:val="6"/>
        </w:numPr>
        <w:tabs>
          <w:tab w:val="clear" w:pos="1296"/>
          <w:tab w:val="left" w:pos="284" w:leader="none"/>
          <w:tab w:val="left" w:pos="426" w:leader="none"/>
          <w:tab w:val="left" w:pos="993" w:leader="none"/>
        </w:tabs>
        <w:spacing w:lineRule="auto" w:line="276"/>
        <w:ind w:firstLine="851" w:left="0"/>
        <w:jc w:val="both"/>
        <w:rPr>
          <w:rFonts w:cs="Times New Roman"/>
          <w:szCs w:val="24"/>
        </w:rPr>
      </w:pPr>
      <w:r>
        <w:rPr>
          <w:rFonts w:cs="Times New Roman"/>
          <w:szCs w:val="24"/>
        </w:rPr>
        <w:t>Perkančioji organizacija, kaip duomenų valdytojas, tvarkys pasiūlyme nurodytus bei pirkimo procedūrų metu iš Tiekėjo gautus duomenų subjektų – fizinių asmenų –Tiekėjo arba jo įgaliotų asmenų, darbuotojų, subtiekėjų, partnerių, kitų asmenų duomenis (vardas, pavardė, pareigos, telefono ryšio numeris, elektroninio pašto adresas, atitiktį kvalifikaciniams reikalavimams patvirtinantys duomenys, kiti Perkančiajai organizacijai Tiekėjo pateikti būtini duomenys) viešųjų pirkimų organizavimo ir vykdymo tikslu vadovaudamasi Reglamento (ES) 2016/679 6 straipsnio 1 dalies c punktu, įgyvendindama pareigas, įtvirtintas Lietuvos Respublikos viešųjų pirkimų įstatyme ir kituose viešuosius pirkimus reglamentuojančiuose teisės aktuose, bei saugos juos pirkimų organizavimo ir vykdymo laikotarpiu bei 10 metų pirkimo procedūroms pasibaigus.</w:t>
      </w:r>
    </w:p>
    <w:p>
      <w:pPr>
        <w:pStyle w:val="ListParagraph"/>
        <w:numPr>
          <w:ilvl w:val="0"/>
          <w:numId w:val="6"/>
        </w:numPr>
        <w:tabs>
          <w:tab w:val="clear" w:pos="1296"/>
          <w:tab w:val="left" w:pos="284" w:leader="none"/>
          <w:tab w:val="left" w:pos="426" w:leader="none"/>
          <w:tab w:val="left" w:pos="993" w:leader="none"/>
        </w:tabs>
        <w:spacing w:lineRule="auto" w:line="276"/>
        <w:ind w:firstLine="851" w:left="0"/>
        <w:jc w:val="both"/>
        <w:rPr>
          <w:rFonts w:cs="Times New Roman"/>
          <w:szCs w:val="24"/>
        </w:rPr>
      </w:pPr>
      <w:r>
        <w:rPr>
          <w:rFonts w:cs="Times New Roman"/>
          <w:szCs w:val="24"/>
        </w:rPr>
        <w:t>Perkančioji organizacija tvarkys Tiekėjo, kurio pasiūlymas bus pripažintas laimėjusiu ir su kuriuo bus sudaryta Sutartis, pateiktus fizinių asmenų – Tiekėjo arba jo įgaliotų asmenų, darbuotojų, subtiekėjų, partnerių, už Sutarties vykdymą atsakingų, kitų asmenų duomenis (vardas, pavardė, pareigos, telefono ryšio numeris, elektroninio pašto adresas, komunikacijos duomenys, kiti būtini duomenys) Sutarties sudarymo ir vykdymo tikslu vadovaudamasi Reglamento (ES) 2016/679 6 str. 1 d. b p. (kai Sutartis sudaroma su fiziniu asmenius) arba Reglamento (ES) 2016/649 6 str. 1 d. c, f p. įgyvendinant teisės aktų reikalavimus bei siekiant teisėto Perkančiosios organizacijos intereso žinoti asmenis, įgaliotus sudaryti ir vykdyti Sutartį ir su jais bendradarbiauti (kai Sutartis sudaroma su juridiniu asmeniu) bei saugos juos Sutarties galiojimo metu ir 10 metų jai pasibaigus.</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Kilus ginčams dėl viešųjų pirkimų organizavimo ar Sutarties vykdymo, Perkančioji organizacija gali tvarkyti nurodytus asmens duomenis Perkančiosios organizacijos teisėtų interesų apsaugos tikslu siekdama teisėto intereso pareikšti, vykdyti ar apginti teisinius reikalavimus, vadovaudamasi Reglamento (ES) 2016/679 6 straipsnio 1 dalies f punktu bei saugos juos ginčo nagrinėjimo metu ir 1 metus po atitinkamos valstybės institucijos galutinio sprendimo priėmimo.</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 xml:space="preserve">Be to, nurodytus asmens duomenis bei dokumento registracijos datą ir numerį Perkančioji organizacija tvarkys ir susijusiu dokumentų valdymo tikslu  vadovaudamasi Reglamento (ES) 2016/679 6 straipsnio 1 dalies c punktu, įgyvendindama pareigas, įtvirtintas Lietuvos Respublikos dokumentų ir archyvų įstatyme, Lietuvos vyriausiojo archyvaro 2011 m. liepos 4 d. įsakyme Nr. V-117 ,,Dėl dokumentų rengimo taisyklių patvirtinimo“, Lietuvos vyriausiojo archyvaro 2011 m. liepos 4 d. įsakyme Nr. V-118 ,,Dėl dokumentų tvarkymo ir apskaitos taisyklių patvirtinimo“, Lietuvos vyriausiojo archyvaro 2011 m. kovo 9 d. įsakyme Nr. V-100 „Dėl Bendrųjų dokumentų saugojimo terminų rodyklės patvirtinimo“, bei saugos juos Perkančiosios organizacijos dokumentacijos plane numatytais terminais.  </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Tuo atveju, kai nurodytų asmenų duomenys bus pateikiami finansiniuose dokumentuose, Perkančioji organizacija juos tvarkys finansinės apskaitos tikslu  vadovaudamasi Reglamento (ES) 2016/679 6 straipsnio 1 dalies c punktu, įgyvendindama pareigas, įtvirtintas Lietuvos Respublikos finansinės apskaitos įstatyme, kituose teisės aktuose.</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Asmens duomenų pateikimas yra privalomas. Nepateikus asmens duomenų Tiekėjo pasiūlymas negalės būti vertinamas bei nebus galima sudaryti ir vykdyti Sutarties.</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851" w:left="0"/>
        <w:jc w:val="both"/>
        <w:rPr>
          <w:rFonts w:cs="Times New Roman"/>
          <w:szCs w:val="24"/>
        </w:rPr>
      </w:pPr>
      <w:r>
        <w:rPr>
          <w:rFonts w:cs="Times New Roman"/>
          <w:szCs w:val="24"/>
        </w:rPr>
        <w:t xml:space="preserve">Asmens duomenis Perkančioji organizacija gali teikti Viešųjų pirkimų tarnybai, teismams, kitoms ginčus nagrinėjančioms institucijoms, bankams ar kitoms mokėjimo įstaigoms (atliekant mokėjimus už paslaugas), paslaugų teikėjams, teikiantiems Perkančiajai organizacijai informacinių technologijų infrastruktūros, programinės įrangos ir jų priežiūros bei administravimo, elektroninių ryšių, auditorių, teisines, konsultavimo, duomenų apsaugos pareigūno bei kitas paslaugas. Laimėjusio Tiekėjo viešųjų pirkimų metu pateikto pasiūlymo, sudarytos sutarties ir jos pakeitimų skaitmeninės kopijos viešųjų pirkimų procedūrų skaidrumo užtikrinimo tikslais bus skelbiamos viešai (išskyrus viešai neskelbtinus asmens duomenis) Centrinėje viešųjų pirkimų informacinėje sistemoje, kurios duomenų valdytoja yra Viešųjų pirkimų tarnyba.  </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 xml:space="preserve">Duomenų subjektai – fiziniai asmenys – Tiekėjas arba jo įgalioti asmenys, darbuotojai, subtiekėjai, partneriai, kiti asmenys kaip duomenų subjektai, turi šias duomenų subjekto teises, kurias Perkančioji organizacija įgyvendins Reglamento (ES) 2016/679 bei taikomų kitų teisės aktų nustatytomis sąlygomis ir apimtimi: 1) teisę gauti informaciją apie duomenų tvarkymą; 2) teisę susipažinti su savo duomenimis ir gauti jų kopiją; 3) teisę reikalauti ištaisyti duomenis ar papildyti neišsamius duomenis; 4) teisę reikalauti ištrinti duomenis („teisė būti pamirštam“); 5) teisę apriboti duomenų tvarkymą; 6) teisę nesutikti su asmens duomenų tvarkymu, kai asmens duomenys tvarkomi siekiant teisėto Perkančiosios organizacijos intereso; 7) teisę į duomenų perkeliamumą, tuo atveju, kai asmens duomenys tvarkomi sutarties sudarymo ir vykdymo pagrindu; 8) teisę pateikti skundą Valstybinei duomenų apsaugos inspekcijai, kurios kontaktai skelbiami čia: </w:t>
      </w:r>
      <w:hyperlink r:id="rId2">
        <w:r>
          <w:rPr>
            <w:rStyle w:val="Hyperlink"/>
            <w:rFonts w:cs="Times New Roman"/>
            <w:szCs w:val="24"/>
            <w:u w:val="none"/>
          </w:rPr>
          <w:t>https://vdai.lrv.lt/</w:t>
        </w:r>
      </w:hyperlink>
      <w:r>
        <w:rPr>
          <w:rFonts w:cs="Times New Roman"/>
          <w:szCs w:val="24"/>
        </w:rPr>
        <w:t xml:space="preserve">. </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 xml:space="preserve">Duomenų subjektai prašymus dėl aukščiau nurodytų savo teisių įgyvendinimo, taip pat kitus skundus/prašymus dėl asmens duomenų tvarkymo gali pateikti Perkančiajai organizacijai paštu adresu Studentų g. 45A, Vilnius, el. paštu </w:t>
      </w:r>
      <w:hyperlink r:id="rId3">
        <w:r>
          <w:rPr>
            <w:rStyle w:val="Hyperlink"/>
            <w:rFonts w:cs="Times New Roman"/>
            <w:szCs w:val="24"/>
            <w:u w:val="none"/>
          </w:rPr>
          <w:t>institutas@hi.lt</w:t>
        </w:r>
      </w:hyperlink>
      <w:r>
        <w:rPr>
          <w:rFonts w:cs="Times New Roman"/>
          <w:szCs w:val="24"/>
        </w:rPr>
        <w:t xml:space="preserve"> arba jos duomenų apsaugos pareigūnui el. paštu info@adaekspertai.lt. </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Daugiau informacijos apie Perkančiosios organizacijos atliekamą asmens duomenų tvarkymą galima rasti jos interneto svetainėje adresu https://www.hi.lt/asmens-duomenu-apsauga/.</w:t>
      </w:r>
    </w:p>
    <w:p>
      <w:pPr>
        <w:pStyle w:val="ListParagraph"/>
        <w:numPr>
          <w:ilvl w:val="0"/>
          <w:numId w:val="6"/>
        </w:numPr>
        <w:tabs>
          <w:tab w:val="clear" w:pos="1296"/>
          <w:tab w:val="left" w:pos="284" w:leader="none"/>
          <w:tab w:val="left" w:pos="426" w:leader="none"/>
          <w:tab w:val="left" w:pos="993" w:leader="none"/>
          <w:tab w:val="left" w:pos="1134" w:leader="none"/>
        </w:tabs>
        <w:spacing w:lineRule="auto" w:line="276"/>
        <w:ind w:firstLine="709" w:left="0"/>
        <w:jc w:val="both"/>
        <w:rPr>
          <w:rFonts w:cs="Times New Roman"/>
          <w:szCs w:val="24"/>
        </w:rPr>
      </w:pPr>
      <w:r>
        <w:rPr>
          <w:rFonts w:cs="Times New Roman"/>
          <w:szCs w:val="24"/>
        </w:rPr>
        <w:t xml:space="preserve">Tiekėjas, prieš teikdamas pasiūlymą ir prieš sudarydamas Sutartį, nurodytus fizinius asmenis privalo supažindinti su 33-42 punktuose pateikta informacija apie Perkančiosios organizacijos vykdomą asmens duomenų tvarkymą. </w:t>
      </w:r>
    </w:p>
    <w:p>
      <w:pPr>
        <w:pStyle w:val="Normal"/>
        <w:spacing w:lineRule="auto" w:line="276"/>
        <w:jc w:val="center"/>
        <w:rPr>
          <w:szCs w:val="24"/>
        </w:rPr>
      </w:pPr>
      <w:r>
        <w:rPr>
          <w:szCs w:val="24"/>
        </w:rPr>
        <w:t>___________________</w:t>
      </w:r>
    </w:p>
    <w:sectPr>
      <w:type w:val="nextPage"/>
      <w:pgSz w:w="11906" w:h="16838"/>
      <w:pgMar w:left="1134" w:right="567"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swiss"/>
    <w:pitch w:val="variable"/>
  </w:font>
  <w:font w:name="Aptos">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2">
    <w:lvl w:ilvl="0">
      <w:start w:val="14"/>
      <w:numFmt w:val="decimal"/>
      <w:lvlText w:val="%1."/>
      <w:lvlJc w:val="left"/>
      <w:pPr>
        <w:tabs>
          <w:tab w:val="num" w:pos="0"/>
        </w:tabs>
        <w:ind w:left="660" w:hanging="660"/>
      </w:pPr>
      <w:rPr/>
    </w:lvl>
    <w:lvl w:ilvl="1">
      <w:start w:val="6"/>
      <w:numFmt w:val="decimal"/>
      <w:lvlText w:val="%1.%2."/>
      <w:lvlJc w:val="left"/>
      <w:pPr>
        <w:tabs>
          <w:tab w:val="num" w:pos="0"/>
        </w:tabs>
        <w:ind w:left="1228" w:hanging="660"/>
      </w:pPr>
      <w:rPr/>
    </w:lvl>
    <w:lvl w:ilvl="2">
      <w:start w:val="1"/>
      <w:numFmt w:val="decimal"/>
      <w:lvlText w:val="%1.%2.%3."/>
      <w:lvlJc w:val="left"/>
      <w:pPr>
        <w:tabs>
          <w:tab w:val="num" w:pos="0"/>
        </w:tabs>
        <w:ind w:left="1646" w:hanging="720"/>
      </w:pPr>
      <w:rPr/>
    </w:lvl>
    <w:lvl w:ilvl="3">
      <w:start w:val="1"/>
      <w:numFmt w:val="decimal"/>
      <w:lvlText w:val="%1.%2.%3.%4."/>
      <w:lvlJc w:val="left"/>
      <w:pPr>
        <w:tabs>
          <w:tab w:val="num" w:pos="0"/>
        </w:tabs>
        <w:ind w:left="2109" w:hanging="720"/>
      </w:pPr>
      <w:rPr/>
    </w:lvl>
    <w:lvl w:ilvl="4">
      <w:start w:val="1"/>
      <w:numFmt w:val="decimal"/>
      <w:lvlText w:val="%1.%2.%3.%4.%5."/>
      <w:lvlJc w:val="left"/>
      <w:pPr>
        <w:tabs>
          <w:tab w:val="num" w:pos="0"/>
        </w:tabs>
        <w:ind w:left="2932" w:hanging="1080"/>
      </w:pPr>
      <w:rPr/>
    </w:lvl>
    <w:lvl w:ilvl="5">
      <w:start w:val="1"/>
      <w:numFmt w:val="decimal"/>
      <w:lvlText w:val="%1.%2.%3.%4.%5.%6."/>
      <w:lvlJc w:val="left"/>
      <w:pPr>
        <w:tabs>
          <w:tab w:val="num" w:pos="0"/>
        </w:tabs>
        <w:ind w:left="3395" w:hanging="1080"/>
      </w:pPr>
      <w:rPr/>
    </w:lvl>
    <w:lvl w:ilvl="6">
      <w:start w:val="1"/>
      <w:numFmt w:val="decimal"/>
      <w:lvlText w:val="%1.%2.%3.%4.%5.%6.%7."/>
      <w:lvlJc w:val="left"/>
      <w:pPr>
        <w:tabs>
          <w:tab w:val="num" w:pos="0"/>
        </w:tabs>
        <w:ind w:left="4218" w:hanging="1440"/>
      </w:pPr>
      <w:rPr/>
    </w:lvl>
    <w:lvl w:ilvl="7">
      <w:start w:val="1"/>
      <w:numFmt w:val="decimal"/>
      <w:lvlText w:val="%1.%2.%3.%4.%5.%6.%7.%8."/>
      <w:lvlJc w:val="left"/>
      <w:pPr>
        <w:tabs>
          <w:tab w:val="num" w:pos="0"/>
        </w:tabs>
        <w:ind w:left="4681" w:hanging="1440"/>
      </w:pPr>
      <w:rPr/>
    </w:lvl>
    <w:lvl w:ilvl="8">
      <w:start w:val="1"/>
      <w:numFmt w:val="decimal"/>
      <w:lvlText w:val="%1.%2.%3.%4.%5.%6.%7.%8.%9."/>
      <w:lvlJc w:val="left"/>
      <w:pPr>
        <w:tabs>
          <w:tab w:val="num" w:pos="0"/>
        </w:tabs>
        <w:ind w:left="5504" w:hanging="1800"/>
      </w:pPr>
      <w:rPr/>
    </w:lvl>
  </w:abstractNum>
  <w:abstractNum w:abstractNumId="3">
    <w:lvl w:ilvl="0">
      <w:start w:val="1"/>
      <w:numFmt w:val="decimal"/>
      <w:lvlText w:val="%1."/>
      <w:lvlJc w:val="left"/>
      <w:pPr>
        <w:tabs>
          <w:tab w:val="num" w:pos="0"/>
        </w:tabs>
        <w:ind w:left="360" w:hanging="360"/>
      </w:pPr>
      <w:rPr>
        <w:b w:val="false"/>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4"/>
      <w:numFmt w:val="decimal"/>
      <w:lvlText w:val="%1."/>
      <w:lvlJc w:val="left"/>
      <w:pPr>
        <w:tabs>
          <w:tab w:val="num" w:pos="0"/>
        </w:tabs>
        <w:ind w:left="360" w:hanging="360"/>
      </w:pPr>
      <w:rPr>
        <w:dstrike w:val="false"/>
        <w:strike w:val="false"/>
        <w:sz w:val="24"/>
        <w:u w:val="none"/>
        <w:b w:val="false"/>
        <w:effect w:val="none"/>
        <w:szCs w:val="24"/>
        <w:rFonts w:ascii="Times New Roman" w:hAnsi="Times New Roman"/>
        <w:color w:val="auto"/>
      </w:rPr>
    </w:lvl>
    <w:lvl w:ilvl="1">
      <w:start w:val="1"/>
      <w:numFmt w:val="decimal"/>
      <w:lvlText w:val="%1.%2."/>
      <w:lvlJc w:val="left"/>
      <w:pPr>
        <w:tabs>
          <w:tab w:val="num" w:pos="0"/>
        </w:tabs>
        <w:ind w:left="927" w:hanging="360"/>
      </w:pPr>
      <w:rPr>
        <w:sz w:val="24"/>
        <w:szCs w:val="24"/>
        <w:rFonts w:ascii="Times New Roman" w:hAnsi="Times New Roman" w:cs="Times New Roman"/>
        <w:color w:val="auto"/>
      </w:rPr>
    </w:lvl>
    <w:lvl w:ilvl="2">
      <w:start w:val="1"/>
      <w:numFmt w:val="decimal"/>
      <w:lvlText w:val="%1.%2.%3."/>
      <w:lvlJc w:val="left"/>
      <w:pPr>
        <w:tabs>
          <w:tab w:val="num" w:pos="0"/>
        </w:tabs>
        <w:ind w:left="4973" w:hanging="720"/>
      </w:pPr>
      <w:rPr>
        <w:sz w:val="24"/>
        <w:szCs w:val="24"/>
        <w:rFonts w:ascii="Times New Roman" w:hAnsi="Times New Roman" w:cs="Times New Roman"/>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5">
    <w:lvl w:ilvl="0">
      <w:start w:val="4"/>
      <w:numFmt w:val="decimal"/>
      <w:lvlText w:val="%1."/>
      <w:lvlJc w:val="left"/>
      <w:pPr>
        <w:tabs>
          <w:tab w:val="num" w:pos="0"/>
        </w:tabs>
        <w:ind w:left="360" w:hanging="360"/>
      </w:pPr>
      <w:rPr>
        <w:dstrike w:val="false"/>
        <w:strike w:val="false"/>
        <w:sz w:val="24"/>
        <w:u w:val="none"/>
        <w:b w:val="false"/>
        <w:effect w:val="none"/>
        <w:szCs w:val="24"/>
        <w:rFonts w:ascii="Times New Roman" w:hAnsi="Times New Roman"/>
        <w:color w:val="auto"/>
      </w:rPr>
    </w:lvl>
    <w:lvl w:ilvl="1">
      <w:start w:val="1"/>
      <w:numFmt w:val="decimal"/>
      <w:lvlText w:val="%1.%2."/>
      <w:lvlJc w:val="left"/>
      <w:pPr>
        <w:tabs>
          <w:tab w:val="num" w:pos="0"/>
        </w:tabs>
        <w:ind w:left="927" w:hanging="360"/>
      </w:pPr>
      <w:rPr>
        <w:sz w:val="24"/>
        <w:szCs w:val="24"/>
        <w:rFonts w:ascii="Times New Roman" w:hAnsi="Times New Roman" w:cs="Times New Roman"/>
        <w:color w:val="auto"/>
      </w:rPr>
    </w:lvl>
    <w:lvl w:ilvl="2">
      <w:start w:val="1"/>
      <w:numFmt w:val="decimal"/>
      <w:lvlText w:val="%1.%2.%3."/>
      <w:lvlJc w:val="left"/>
      <w:pPr>
        <w:tabs>
          <w:tab w:val="num" w:pos="0"/>
        </w:tabs>
        <w:ind w:left="4973" w:hanging="720"/>
      </w:pPr>
      <w:rPr>
        <w:sz w:val="24"/>
        <w:szCs w:val="24"/>
        <w:rFonts w:ascii="Times New Roman" w:hAnsi="Times New Roman" w:cs="Times New Roman"/>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6">
    <w:lvl w:ilvl="0">
      <w:start w:val="15"/>
      <w:numFmt w:val="decimal"/>
      <w:lvlText w:val="%1."/>
      <w:lvlJc w:val="left"/>
      <w:pPr>
        <w:tabs>
          <w:tab w:val="num" w:pos="0"/>
        </w:tabs>
        <w:ind w:left="660" w:hanging="660"/>
      </w:pPr>
      <w:rPr/>
    </w:lvl>
    <w:lvl w:ilvl="1">
      <w:start w:val="1"/>
      <w:numFmt w:val="decimal"/>
      <w:lvlText w:val="%1.%2."/>
      <w:lvlJc w:val="left"/>
      <w:pPr>
        <w:tabs>
          <w:tab w:val="num" w:pos="0"/>
        </w:tabs>
        <w:ind w:left="1228" w:hanging="660"/>
      </w:pPr>
      <w:rPr/>
    </w:lvl>
    <w:lvl w:ilvl="2">
      <w:start w:val="1"/>
      <w:numFmt w:val="decimal"/>
      <w:lvlText w:val="%1.%2.%3."/>
      <w:lvlJc w:val="left"/>
      <w:pPr>
        <w:tabs>
          <w:tab w:val="num" w:pos="0"/>
        </w:tabs>
        <w:ind w:left="1646" w:hanging="720"/>
      </w:pPr>
      <w:rPr/>
    </w:lvl>
    <w:lvl w:ilvl="3">
      <w:start w:val="1"/>
      <w:numFmt w:val="decimal"/>
      <w:lvlText w:val="%1.%2.%3.%4."/>
      <w:lvlJc w:val="left"/>
      <w:pPr>
        <w:tabs>
          <w:tab w:val="num" w:pos="0"/>
        </w:tabs>
        <w:ind w:left="2109" w:hanging="720"/>
      </w:pPr>
      <w:rPr/>
    </w:lvl>
    <w:lvl w:ilvl="4">
      <w:start w:val="1"/>
      <w:numFmt w:val="decimal"/>
      <w:lvlText w:val="%1.%2.%3.%4.%5."/>
      <w:lvlJc w:val="left"/>
      <w:pPr>
        <w:tabs>
          <w:tab w:val="num" w:pos="0"/>
        </w:tabs>
        <w:ind w:left="2932" w:hanging="1080"/>
      </w:pPr>
      <w:rPr/>
    </w:lvl>
    <w:lvl w:ilvl="5">
      <w:start w:val="1"/>
      <w:numFmt w:val="decimal"/>
      <w:lvlText w:val="%1.%2.%3.%4.%5.%6."/>
      <w:lvlJc w:val="left"/>
      <w:pPr>
        <w:tabs>
          <w:tab w:val="num" w:pos="0"/>
        </w:tabs>
        <w:ind w:left="3395" w:hanging="1080"/>
      </w:pPr>
      <w:rPr/>
    </w:lvl>
    <w:lvl w:ilvl="6">
      <w:start w:val="1"/>
      <w:numFmt w:val="decimal"/>
      <w:lvlText w:val="%1.%2.%3.%4.%5.%6.%7."/>
      <w:lvlJc w:val="left"/>
      <w:pPr>
        <w:tabs>
          <w:tab w:val="num" w:pos="0"/>
        </w:tabs>
        <w:ind w:left="4218" w:hanging="1440"/>
      </w:pPr>
      <w:rPr/>
    </w:lvl>
    <w:lvl w:ilvl="7">
      <w:start w:val="1"/>
      <w:numFmt w:val="decimal"/>
      <w:lvlText w:val="%1.%2.%3.%4.%5.%6.%7.%8."/>
      <w:lvlJc w:val="left"/>
      <w:pPr>
        <w:tabs>
          <w:tab w:val="num" w:pos="0"/>
        </w:tabs>
        <w:ind w:left="4681" w:hanging="1440"/>
      </w:pPr>
      <w:rPr/>
    </w:lvl>
    <w:lvl w:ilvl="8">
      <w:start w:val="1"/>
      <w:numFmt w:val="decimal"/>
      <w:lvlText w:val="%1.%2.%3.%4.%5.%6.%7.%8.%9."/>
      <w:lvlJc w:val="left"/>
      <w:pPr>
        <w:tabs>
          <w:tab w:val="num" w:pos="0"/>
        </w:tabs>
        <w:ind w:left="5504" w:hanging="180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Arial" w:cstheme="minorBidi"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59de"/>
    <w:pPr>
      <w:widowControl/>
      <w:bidi w:val="0"/>
      <w:spacing w:before="0" w:after="0"/>
      <w:jc w:val="left"/>
    </w:pPr>
    <w:rPr>
      <w:rFonts w:ascii="Times New Roman" w:hAnsi="Times New Roman" w:eastAsia="Calibri" w:cs="Arial" w:cstheme="minorBidi"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a61bac"/>
    <w:pPr>
      <w:keepNext w:val="true"/>
      <w:keepLines/>
      <w:spacing w:before="360" w:after="80"/>
      <w:outlineLvl w:val="0"/>
    </w:pPr>
    <w:rPr>
      <w:rFonts w:ascii="Calibri Light" w:hAnsi="Calibri Light" w:eastAsia="游ゴシック Light" w:cs="Times New Roman"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a61bac"/>
    <w:pPr>
      <w:keepNext w:val="true"/>
      <w:keepLines/>
      <w:spacing w:before="160" w:after="80"/>
      <w:outlineLvl w:val="1"/>
    </w:pPr>
    <w:rPr>
      <w:rFonts w:ascii="Calibri Light" w:hAnsi="Calibri Light" w:eastAsia="游ゴシック Light" w:cs="Times New Roman"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a61bac"/>
    <w:pPr>
      <w:keepNext w:val="true"/>
      <w:keepLines/>
      <w:spacing w:before="160" w:after="80"/>
      <w:outlineLvl w:val="2"/>
    </w:pPr>
    <w:rPr>
      <w:rFonts w:ascii="Calibri" w:hAnsi="Calibri" w:eastAsia="游ゴシック Light" w:cs="Times New Roman"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a61bac"/>
    <w:pPr>
      <w:keepNext w:val="true"/>
      <w:keepLines/>
      <w:spacing w:before="80" w:after="40"/>
      <w:outlineLvl w:val="3"/>
    </w:pPr>
    <w:rPr>
      <w:rFonts w:ascii="Calibri" w:hAnsi="Calibri" w:eastAsia="游ゴシック Light" w:cs="Times New Roman"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a61bac"/>
    <w:pPr>
      <w:keepNext w:val="true"/>
      <w:keepLines/>
      <w:spacing w:before="80" w:after="40"/>
      <w:outlineLvl w:val="4"/>
    </w:pPr>
    <w:rPr>
      <w:rFonts w:ascii="Calibri" w:hAnsi="Calibri" w:eastAsia="游ゴシック Light" w:cs="Times New Roman"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a61bac"/>
    <w:pPr>
      <w:keepNext w:val="true"/>
      <w:keepLines/>
      <w:spacing w:before="40" w:after="0"/>
      <w:outlineLvl w:val="5"/>
    </w:pPr>
    <w:rPr>
      <w:rFonts w:ascii="Calibri" w:hAnsi="Calibri" w:eastAsia="游ゴシック Light" w:cs="Times New Roman"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a61bac"/>
    <w:pPr>
      <w:keepNext w:val="true"/>
      <w:keepLines/>
      <w:spacing w:before="40" w:after="0"/>
      <w:outlineLvl w:val="6"/>
    </w:pPr>
    <w:rPr>
      <w:rFonts w:ascii="Calibri" w:hAnsi="Calibri" w:eastAsia="游ゴシック Light" w:cs="Times New Roman"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a61bac"/>
    <w:pPr>
      <w:keepNext w:val="true"/>
      <w:keepLines/>
      <w:outlineLvl w:val="7"/>
    </w:pPr>
    <w:rPr>
      <w:rFonts w:ascii="Calibri" w:hAnsi="Calibri" w:eastAsia="游ゴシック Light" w:cs="Times New Roman"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a61bac"/>
    <w:pPr>
      <w:keepNext w:val="true"/>
      <w:keepLines/>
      <w:outlineLvl w:val="8"/>
    </w:pPr>
    <w:rPr>
      <w:rFonts w:ascii="Calibri" w:hAnsi="Calibri" w:eastAsia="游ゴシック Light" w:cs="Times New Roman"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a61bac"/>
    <w:rPr>
      <w:rFonts w:ascii="Calibri Light" w:hAnsi="Calibri Light" w:eastAsia="游ゴシック Light" w:cs="Times New Roman"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a61bac"/>
    <w:rPr>
      <w:rFonts w:ascii="Calibri Light" w:hAnsi="Calibri Light" w:eastAsia="游ゴシック Light" w:cs="Times New Roman"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a61bac"/>
    <w:rPr>
      <w:rFonts w:ascii="Calibri" w:hAnsi="Calibri" w:eastAsia="游ゴシック Light" w:cs="Times New Roman"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a61bac"/>
    <w:rPr>
      <w:rFonts w:ascii="Calibri" w:hAnsi="Calibri" w:eastAsia="游ゴシック Light" w:cs="Times New Roman"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a61bac"/>
    <w:rPr>
      <w:rFonts w:ascii="Calibri" w:hAnsi="Calibri" w:eastAsia="游ゴシック Light" w:cs="Times New Roman"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a61bac"/>
    <w:rPr>
      <w:rFonts w:ascii="Calibri" w:hAnsi="Calibri" w:eastAsia="游ゴシック Light" w:cs="Times New Roman"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a61bac"/>
    <w:rPr>
      <w:rFonts w:ascii="Calibri" w:hAnsi="Calibri" w:eastAsia="游ゴシック Light" w:cs="Times New Roman"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a61bac"/>
    <w:rPr>
      <w:rFonts w:ascii="Calibri" w:hAnsi="Calibri" w:eastAsia="游ゴシック Light" w:cs="Times New Roman"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a61bac"/>
    <w:rPr>
      <w:rFonts w:ascii="Calibri" w:hAnsi="Calibri" w:eastAsia="游ゴシック Light" w:cs="Times New Roman"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a61bac"/>
    <w:rPr>
      <w:rFonts w:ascii="Calibri Light" w:hAnsi="Calibri Light" w:eastAsia="游ゴシック Light" w:cs="Times New Roman"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a61bac"/>
    <w:rPr>
      <w:rFonts w:ascii="Calibri" w:hAnsi="Calibri" w:eastAsia="游ゴシック Light" w:cs="Times New Roman"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a61bac"/>
    <w:rPr>
      <w:i/>
      <w:iCs/>
      <w:color w:themeColor="text1" w:themeTint="bf" w:val="404040"/>
    </w:rPr>
  </w:style>
  <w:style w:type="character" w:styleId="IntenseEmphasis">
    <w:name w:val="Intense Emphasis"/>
    <w:basedOn w:val="DefaultParagraphFont"/>
    <w:uiPriority w:val="21"/>
    <w:qFormat/>
    <w:rsid w:val="00a61bac"/>
    <w:rPr>
      <w:i/>
      <w:iCs/>
      <w:color w:themeColor="accent1" w:themeShade="bf" w:val="2F5496"/>
    </w:rPr>
  </w:style>
  <w:style w:type="character" w:styleId="IntenseQuoteChar" w:customStyle="1">
    <w:name w:val="Intense Quote Char"/>
    <w:basedOn w:val="DefaultParagraphFont"/>
    <w:link w:val="IntenseQuote"/>
    <w:uiPriority w:val="30"/>
    <w:qFormat/>
    <w:rsid w:val="00a61bac"/>
    <w:rPr>
      <w:i/>
      <w:iCs/>
      <w:color w:themeColor="accent1" w:themeShade="bf" w:val="2F5496"/>
    </w:rPr>
  </w:style>
  <w:style w:type="character" w:styleId="IntenseReference">
    <w:name w:val="Intense Reference"/>
    <w:basedOn w:val="DefaultParagraphFont"/>
    <w:uiPriority w:val="32"/>
    <w:qFormat/>
    <w:rsid w:val="00a61bac"/>
    <w:rPr>
      <w:b/>
      <w:bCs/>
      <w:smallCaps/>
      <w:color w:themeColor="accent1" w:themeShade="bf" w:val="2F5496"/>
      <w:spacing w:val="5"/>
    </w:rPr>
  </w:style>
  <w:style w:type="character" w:styleId="Hyperlink">
    <w:name w:val="Hyperlink"/>
    <w:rsid w:val="00ea2e5f"/>
    <w:rPr>
      <w:u w:val="single"/>
    </w:rPr>
  </w:style>
  <w:style w:type="character" w:styleId="ListParagraphChar" w:customStyle="1">
    <w:name w:val="List Paragraph Char"/>
    <w:link w:val="ListParagraph"/>
    <w:uiPriority w:val="34"/>
    <w:qFormat/>
    <w:locked/>
    <w:rsid w:val="00ea2e5f"/>
    <w:rPr/>
  </w:style>
  <w:style w:type="character" w:styleId="Eop" w:customStyle="1">
    <w:name w:val="eop"/>
    <w:basedOn w:val="DefaultParagraphFont"/>
    <w:qFormat/>
    <w:rsid w:val="00ea2e5f"/>
    <w:rPr/>
  </w:style>
  <w:style w:type="character" w:styleId="CommentTextChar" w:customStyle="1">
    <w:name w:val="Comment Text Char"/>
    <w:basedOn w:val="DefaultParagraphFont"/>
    <w:link w:val="CommentText"/>
    <w:uiPriority w:val="99"/>
    <w:qFormat/>
    <w:rPr>
      <w:sz w:val="20"/>
      <w:szCs w:val="20"/>
    </w:rPr>
  </w:style>
  <w:style w:type="character" w:styleId="CommentReference">
    <w:name w:val="Comment Reference"/>
    <w:basedOn w:val="DefaultParagraphFont"/>
    <w:uiPriority w:val="99"/>
    <w:semiHidden/>
    <w:unhideWhenUsed/>
    <w:qFormat/>
    <w:rPr>
      <w:sz w:val="16"/>
      <w:szCs w:val="16"/>
    </w:rPr>
  </w:style>
  <w:style w:type="character" w:styleId="CommentSubjectChar" w:customStyle="1">
    <w:name w:val="Comment Subject Char"/>
    <w:basedOn w:val="CommentTextChar"/>
    <w:link w:val="CommentSubject"/>
    <w:uiPriority w:val="99"/>
    <w:semiHidden/>
    <w:qFormat/>
    <w:rsid w:val="00a205bb"/>
    <w:rPr>
      <w:b/>
      <w:bCs/>
      <w:sz w:val="20"/>
      <w:szCs w:val="20"/>
    </w:rPr>
  </w:style>
  <w:style w:type="character" w:styleId="Normaltextrun" w:customStyle="1">
    <w:name w:val="normaltextrun"/>
    <w:basedOn w:val="DefaultParagraphFont"/>
    <w:qFormat/>
    <w:rsid w:val="002d23c8"/>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a61bac"/>
    <w:pPr>
      <w:spacing w:before="0" w:after="80"/>
      <w:contextualSpacing/>
    </w:pPr>
    <w:rPr>
      <w:rFonts w:ascii="Calibri Light" w:hAnsi="Calibri Light" w:eastAsia="游ゴシック Light" w:cs="Times New Roman"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a61bac"/>
    <w:pPr>
      <w:spacing w:before="0" w:after="160"/>
    </w:pPr>
    <w:rPr>
      <w:rFonts w:ascii="Calibri" w:hAnsi="Calibri" w:eastAsia="游ゴシック Light" w:cs="Times New Roman"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a61bac"/>
    <w:pPr>
      <w:spacing w:before="160" w:after="160"/>
      <w:jc w:val="center"/>
    </w:pPr>
    <w:rPr>
      <w:i/>
      <w:iCs/>
      <w:color w:themeColor="text1" w:themeTint="bf" w:val="404040"/>
    </w:rPr>
  </w:style>
  <w:style w:type="paragraph" w:styleId="ListParagraph">
    <w:name w:val="List Paragraph"/>
    <w:basedOn w:val="Normal"/>
    <w:link w:val="ListParagraphChar"/>
    <w:uiPriority w:val="34"/>
    <w:qFormat/>
    <w:rsid w:val="00a61bac"/>
    <w:pPr>
      <w:spacing w:before="0" w:after="0"/>
      <w:ind w:left="720"/>
      <w:contextualSpacing/>
    </w:pPr>
    <w:rPr/>
  </w:style>
  <w:style w:type="paragraph" w:styleId="IntenseQuote">
    <w:name w:val="Intense Quote"/>
    <w:basedOn w:val="Normal"/>
    <w:next w:val="Normal"/>
    <w:link w:val="IntenseQuoteChar"/>
    <w:uiPriority w:val="30"/>
    <w:qFormat/>
    <w:rsid w:val="00a61bac"/>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Standard" w:customStyle="1">
    <w:name w:val="Standard"/>
    <w:qFormat/>
    <w:rsid w:val="00ea2e5f"/>
    <w:pPr>
      <w:widowControl/>
      <w:suppressAutoHyphens w:val="true"/>
      <w:bidi w:val="0"/>
      <w:spacing w:before="0" w:after="0"/>
      <w:jc w:val="left"/>
    </w:pPr>
    <w:rPr>
      <w:rFonts w:eastAsia="Times New Roman" w:cs="Times New Roman" w:ascii="Times New Roman" w:hAnsi="Times New Roman"/>
      <w:color w:val="auto"/>
      <w:kern w:val="2"/>
      <w:sz w:val="24"/>
      <w:szCs w:val="24"/>
      <w:lang w:eastAsia="lt-LT" w:val="lt-LT" w:bidi="ar-SA"/>
      <w14:ligatures w14:val="none"/>
    </w:rPr>
  </w:style>
  <w:style w:type="paragraph" w:styleId="Prastasis1" w:customStyle="1">
    <w:name w:val="Įprastasis1"/>
    <w:qFormat/>
    <w:rsid w:val="00ea2e5f"/>
    <w:pPr>
      <w:widowControl w:val="false"/>
      <w:suppressAutoHyphens w:val="true"/>
      <w:bidi w:val="0"/>
      <w:spacing w:lineRule="auto" w:line="276" w:before="0" w:after="200"/>
      <w:jc w:val="left"/>
    </w:pPr>
    <w:rPr>
      <w:rFonts w:eastAsia="Calibri" w:cs="Calibri" w:ascii="Times New Roman" w:hAnsi="Times New Roman"/>
      <w:color w:val="00000A"/>
      <w:kern w:val="2"/>
      <w:sz w:val="24"/>
      <w:szCs w:val="24"/>
      <w:lang w:val="en-US" w:eastAsia="en-US" w:bidi="ar-SA"/>
      <w14:ligatures w14:val="none"/>
    </w:rPr>
  </w:style>
  <w:style w:type="paragraph" w:styleId="NoSpacing">
    <w:name w:val="No Spacing"/>
    <w:uiPriority w:val="1"/>
    <w:qFormat/>
    <w:rsid w:val="00ef5dec"/>
    <w:pPr>
      <w:widowControl/>
      <w:bidi w:val="0"/>
      <w:spacing w:before="0" w:after="0"/>
      <w:jc w:val="left"/>
    </w:pPr>
    <w:rPr>
      <w:rFonts w:ascii="Aptos" w:hAnsi="Aptos" w:cs="Calibri" w:eastAsia="Calibri" w:eastAsiaTheme="minorHAnsi"/>
      <w:color w:val="auto"/>
      <w:kern w:val="0"/>
      <w:sz w:val="24"/>
      <w:szCs w:val="24"/>
      <w:lang w:val="lt-LT" w:eastAsia="en-US" w:bidi="ar-SA"/>
      <w14:ligatures w14:val="standardContextual"/>
    </w:rPr>
  </w:style>
  <w:style w:type="paragraph" w:styleId="CommentText">
    <w:name w:val="Comment Text"/>
    <w:basedOn w:val="Normal"/>
    <w:link w:val="CommentTextChar"/>
    <w:uiPriority w:val="99"/>
    <w:unhideWhenUsed/>
    <w:qFormat/>
    <w:pPr/>
    <w:rPr>
      <w:sz w:val="20"/>
      <w:szCs w:val="20"/>
    </w:rPr>
  </w:style>
  <w:style w:type="paragraph" w:styleId="Revision">
    <w:name w:val="Revision"/>
    <w:uiPriority w:val="99"/>
    <w:semiHidden/>
    <w:qFormat/>
    <w:rsid w:val="005724a6"/>
    <w:pPr>
      <w:widowControl/>
      <w:bidi w:val="0"/>
      <w:spacing w:before="0" w:after="0"/>
      <w:jc w:val="left"/>
    </w:pPr>
    <w:rPr>
      <w:rFonts w:ascii="Times New Roman" w:hAnsi="Times New Roman" w:eastAsia="Calibri" w:cs="Arial" w:cstheme="minorBidi" w:eastAsiaTheme="minorHAnsi"/>
      <w:color w:val="auto"/>
      <w:kern w:val="2"/>
      <w:sz w:val="24"/>
      <w:szCs w:val="22"/>
      <w:lang w:val="lt-LT" w:eastAsia="en-US" w:bidi="ar-SA"/>
      <w14:ligatures w14:val="standardContextual"/>
    </w:rPr>
  </w:style>
  <w:style w:type="paragraph" w:styleId="CommentSubject">
    <w:name w:val="Comment Subject"/>
    <w:basedOn w:val="CommentText"/>
    <w:next w:val="CommentText"/>
    <w:link w:val="CommentSubjectChar"/>
    <w:uiPriority w:val="99"/>
    <w:semiHidden/>
    <w:unhideWhenUsed/>
    <w:qFormat/>
    <w:rsid w:val="00a205bb"/>
    <w:pPr/>
    <w:rPr>
      <w:b/>
      <w:bCs/>
    </w:rPr>
  </w:style>
  <w:style w:type="paragraph" w:styleId="S1lygis" w:customStyle="1">
    <w:name w:val="_S 1 lygis"/>
    <w:basedOn w:val="Normal"/>
    <w:qFormat/>
    <w:rsid w:val="00d55398"/>
    <w:pPr>
      <w:numPr>
        <w:ilvl w:val="0"/>
        <w:numId w:val="1"/>
      </w:numPr>
      <w:spacing w:before="240" w:after="240"/>
    </w:pPr>
    <w:rPr>
      <w:rFonts w:eastAsia="Times New Roman" w:cs="Times New Roman"/>
      <w:b/>
      <w:kern w:val="0"/>
      <w:szCs w:val="24"/>
      <w:lang w:eastAsia="lt-LT"/>
      <w14:ligatures w14:val="none"/>
    </w:rPr>
  </w:style>
  <w:style w:type="paragraph" w:styleId="S2lygis" w:customStyle="1">
    <w:name w:val="_S 2 lygis"/>
    <w:basedOn w:val="Normal"/>
    <w:qFormat/>
    <w:rsid w:val="00d55398"/>
    <w:pPr>
      <w:numPr>
        <w:ilvl w:val="1"/>
        <w:numId w:val="1"/>
      </w:numPr>
      <w:spacing w:before="120" w:after="120"/>
      <w:jc w:val="both"/>
    </w:pPr>
    <w:rPr>
      <w:rFonts w:eastAsia="Times New Roman" w:cs="Times New Roman"/>
      <w:kern w:val="0"/>
      <w:szCs w:val="24"/>
      <w:lang w:eastAsia="lt-LT"/>
      <w14:ligatures w14:val="none"/>
    </w:rPr>
  </w:style>
  <w:style w:type="paragraph" w:styleId="S3lygis" w:customStyle="1">
    <w:name w:val="_S 3 lygis"/>
    <w:basedOn w:val="S2lygis"/>
    <w:qFormat/>
    <w:rsid w:val="00d55398"/>
    <w:pPr/>
    <w:rPr/>
  </w:style>
  <w:style w:type="paragraph" w:styleId="Paragraph" w:customStyle="1">
    <w:name w:val="paragraph"/>
    <w:basedOn w:val="Normal"/>
    <w:qFormat/>
    <w:rsid w:val="002d23c8"/>
    <w:pPr>
      <w:spacing w:beforeAutospacing="1" w:afterAutospacing="1"/>
    </w:pPr>
    <w:rPr>
      <w:rFonts w:eastAsia="Times New Roman" w:cs="Times New Roman"/>
      <w:kern w:val="0"/>
      <w:szCs w:val="24"/>
      <w:lang w:eastAsia="lt-LT"/>
      <w14:ligatures w14:val="none"/>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ef5de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dai.lrv.lt/" TargetMode="External"/><Relationship Id="rId3" Type="http://schemas.openxmlformats.org/officeDocument/2006/relationships/hyperlink" Target="mailto:institutas@hi.l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EA0A5D-743A-48E3-9DAF-AFD00D253393}"/>
</file>

<file path=customXml/itemProps2.xml><?xml version="1.0" encoding="utf-8"?>
<ds:datastoreItem xmlns:ds="http://schemas.openxmlformats.org/officeDocument/2006/customXml" ds:itemID="{57864B68-CDB1-4E31-9F94-395F4346EE80}"/>
</file>

<file path=customXml/itemProps3.xml><?xml version="1.0" encoding="utf-8"?>
<ds:datastoreItem xmlns:ds="http://schemas.openxmlformats.org/officeDocument/2006/customXml" ds:itemID="{85B8B94D-8A5E-4C56-9264-BFAB019064B5}"/>
</file>

<file path=docProps/app.xml><?xml version="1.0" encoding="utf-8"?>
<Properties xmlns="http://schemas.openxmlformats.org/officeDocument/2006/extended-properties" xmlns:vt="http://schemas.openxmlformats.org/officeDocument/2006/docPropsVTypes">
  <Template>Normal.dotm</Template>
  <TotalTime>0</TotalTime>
  <Application>LibreOffice/7.6.4.1$Windows_X86_64 LibreOffice_project/e19e193f88cd6c0525a17fb7a176ed8e6a3e2aa1</Application>
  <AppVersion>15.0000</AppVersion>
  <Pages>6</Pages>
  <Words>2382</Words>
  <Characters>17241</Characters>
  <CharactersWithSpaces>19481</CharactersWithSpaces>
  <Paragraphs>109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2025-02-26T09:48:00Z</dcterms:created>
  <dc:creator>Jūratė Šilgalytė</dc:creator>
  <dc:description/>
  <dc:language>en-US</dc:language>
  <cp:lastModifiedBy/>
  <dcterms:modified xsi:type="dcterms:W3CDTF">2026-06-09T23:18:45Z</dcterms:modified>
  <cp:revision>296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y fmtid="{D5CDD505-2E9C-101B-9397-08002B2CF9AE}" pid="3" name="MediaServiceImageTags">
    <vt:lpwstr/>
  </property>
</Properties>
</file>